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ascii="黑体" w:hAnsi="黑体" w:eastAsia="黑体" w:cs="宋体"/>
          <w:b/>
          <w:color w:val="000000"/>
          <w:kern w:val="0"/>
          <w:sz w:val="36"/>
          <w:szCs w:val="36"/>
        </w:rPr>
      </w:pPr>
      <w:r>
        <w:rPr>
          <w:rFonts w:hint="eastAsia" w:ascii="黑体" w:hAnsi="黑体" w:eastAsia="黑体" w:cs="宋体"/>
          <w:b/>
          <w:color w:val="000000"/>
          <w:w w:val="90"/>
          <w:kern w:val="0"/>
          <w:sz w:val="36"/>
          <w:szCs w:val="36"/>
        </w:rPr>
        <w:t>湖南省湘澧盐化有限责任公司</w:t>
      </w:r>
    </w:p>
    <w:p>
      <w:pPr>
        <w:spacing w:line="360" w:lineRule="auto"/>
        <w:jc w:val="center"/>
        <w:rPr>
          <w:rFonts w:hint="eastAsia" w:ascii="黑体" w:hAnsi="黑体" w:eastAsia="黑体" w:cs="宋体"/>
          <w:b/>
          <w:color w:val="000000"/>
          <w:kern w:val="0"/>
          <w:sz w:val="48"/>
          <w:szCs w:val="48"/>
        </w:rPr>
      </w:pPr>
      <w:r>
        <w:rPr>
          <w:rFonts w:hint="eastAsia"/>
          <w:sz w:val="48"/>
          <w:szCs w:val="48"/>
          <w:lang w:val="en-US" w:eastAsia="zh-CN"/>
        </w:rPr>
        <w:t>生态盐分级分筛车间建设项目</w:t>
      </w:r>
    </w:p>
    <w:p>
      <w:pPr>
        <w:spacing w:line="360" w:lineRule="auto"/>
        <w:jc w:val="center"/>
        <w:rPr>
          <w:rFonts w:ascii="黑体" w:hAnsi="黑体" w:eastAsia="黑体" w:cs="宋体"/>
          <w:b/>
          <w:color w:val="000000"/>
          <w:w w:val="100"/>
          <w:kern w:val="0"/>
          <w:sz w:val="36"/>
          <w:szCs w:val="36"/>
        </w:rPr>
      </w:pPr>
      <w:r>
        <w:rPr>
          <w:rFonts w:hint="eastAsia"/>
          <w:w w:val="100"/>
          <w:sz w:val="36"/>
          <w:szCs w:val="36"/>
          <w:lang w:val="en-US" w:eastAsia="zh-CN"/>
        </w:rPr>
        <w:t>小包二期除尘系统升级改造</w:t>
      </w:r>
    </w:p>
    <w:p>
      <w:pPr>
        <w:spacing w:line="360" w:lineRule="auto"/>
        <w:jc w:val="center"/>
        <w:rPr>
          <w:rFonts w:ascii="黑体" w:hAnsi="黑体" w:eastAsia="黑体"/>
          <w:b/>
          <w:sz w:val="28"/>
          <w:szCs w:val="28"/>
        </w:rPr>
      </w:pPr>
    </w:p>
    <w:p>
      <w:pPr>
        <w:jc w:val="both"/>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52"/>
          <w:szCs w:val="52"/>
        </w:rPr>
        <w:t>招</w:t>
      </w:r>
      <w:r>
        <w:rPr>
          <w:rFonts w:hint="eastAsia" w:ascii="黑体" w:hAnsi="黑体" w:eastAsia="黑体"/>
          <w:b/>
          <w:sz w:val="52"/>
          <w:szCs w:val="52"/>
          <w:lang w:val="en-US" w:eastAsia="zh-CN"/>
        </w:rPr>
        <w:t xml:space="preserve"> </w:t>
      </w:r>
      <w:r>
        <w:rPr>
          <w:rFonts w:hint="eastAsia" w:ascii="黑体" w:hAnsi="黑体" w:eastAsia="黑体"/>
          <w:b/>
          <w:sz w:val="52"/>
          <w:szCs w:val="52"/>
        </w:rPr>
        <w:t>标</w:t>
      </w:r>
      <w:r>
        <w:rPr>
          <w:rFonts w:hint="eastAsia" w:ascii="黑体" w:hAnsi="黑体" w:eastAsia="黑体"/>
          <w:b/>
          <w:sz w:val="52"/>
          <w:szCs w:val="52"/>
          <w:lang w:val="en-US" w:eastAsia="zh-CN"/>
        </w:rPr>
        <w:t xml:space="preserve"> </w:t>
      </w:r>
      <w:r>
        <w:rPr>
          <w:rFonts w:hint="eastAsia" w:ascii="黑体" w:hAnsi="黑体" w:eastAsia="黑体"/>
          <w:b/>
          <w:sz w:val="52"/>
          <w:szCs w:val="52"/>
        </w:rPr>
        <w:t>文</w:t>
      </w:r>
      <w:r>
        <w:rPr>
          <w:rFonts w:hint="eastAsia" w:ascii="黑体" w:hAnsi="黑体" w:eastAsia="黑体"/>
          <w:b/>
          <w:sz w:val="52"/>
          <w:szCs w:val="52"/>
          <w:lang w:val="en-US" w:eastAsia="zh-CN"/>
        </w:rPr>
        <w:t xml:space="preserve"> </w:t>
      </w:r>
      <w:r>
        <w:rPr>
          <w:rFonts w:hint="eastAsia" w:ascii="黑体" w:hAnsi="黑体" w:eastAsia="黑体"/>
          <w:b/>
          <w:sz w:val="52"/>
          <w:szCs w:val="52"/>
        </w:rPr>
        <w:t>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20</w:t>
      </w:r>
      <w:r>
        <w:rPr>
          <w:rFonts w:hint="eastAsia" w:asciiTheme="minorEastAsia" w:hAnsiTheme="minorEastAsia" w:eastAsiaTheme="minorEastAsia"/>
          <w:b/>
          <w:color w:val="auto"/>
          <w:sz w:val="28"/>
          <w:szCs w:val="28"/>
          <w:lang w:val="en-US" w:eastAsia="zh-CN"/>
        </w:rPr>
        <w:t>24</w:t>
      </w:r>
      <w:r>
        <w:rPr>
          <w:rFonts w:hint="eastAsia" w:asciiTheme="minorEastAsia" w:hAnsiTheme="minorEastAsia" w:eastAsiaTheme="minorEastAsia"/>
          <w:b/>
          <w:color w:val="auto"/>
          <w:sz w:val="28"/>
          <w:szCs w:val="28"/>
        </w:rPr>
        <w:t>年</w:t>
      </w:r>
      <w:r>
        <w:rPr>
          <w:rFonts w:hint="eastAsia" w:asciiTheme="minorEastAsia" w:hAnsiTheme="minorEastAsia" w:eastAsiaTheme="minorEastAsia"/>
          <w:b/>
          <w:color w:val="auto"/>
          <w:sz w:val="28"/>
          <w:szCs w:val="28"/>
          <w:lang w:val="en-US" w:eastAsia="zh-CN"/>
        </w:rPr>
        <w:t>2</w:t>
      </w:r>
      <w:r>
        <w:rPr>
          <w:rFonts w:hint="eastAsia" w:asciiTheme="minorEastAsia" w:hAnsiTheme="minorEastAsia" w:eastAsiaTheme="minorEastAsia"/>
          <w:b/>
          <w:color w:val="auto"/>
          <w:sz w:val="28"/>
          <w:szCs w:val="28"/>
        </w:rPr>
        <w:t>月</w:t>
      </w:r>
      <w:r>
        <w:rPr>
          <w:rFonts w:hint="eastAsia" w:asciiTheme="minorEastAsia" w:hAnsiTheme="minorEastAsia" w:eastAsiaTheme="minorEastAsia"/>
          <w:b/>
          <w:color w:val="auto"/>
          <w:sz w:val="28"/>
          <w:szCs w:val="28"/>
          <w:lang w:val="en-US" w:eastAsia="zh-CN"/>
        </w:rPr>
        <w:t>5</w:t>
      </w:r>
      <w:r>
        <w:rPr>
          <w:rFonts w:hint="eastAsia" w:asciiTheme="minorEastAsia" w:hAnsiTheme="minorEastAsia" w:eastAsiaTheme="minorEastAsia"/>
          <w:b/>
          <w:color w:val="auto"/>
          <w:sz w:val="28"/>
          <w:szCs w:val="28"/>
        </w:rPr>
        <w:t>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8"/>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8"/>
        <w:adjustRightInd w:val="0"/>
        <w:snapToGrid w:val="0"/>
        <w:spacing w:line="360" w:lineRule="auto"/>
        <w:rPr>
          <w:rFonts w:hAnsi="宋体"/>
          <w:b/>
          <w:sz w:val="24"/>
          <w:szCs w:val="24"/>
        </w:rPr>
      </w:pPr>
    </w:p>
    <w:p>
      <w:pPr>
        <w:pStyle w:val="8"/>
        <w:adjustRightInd w:val="0"/>
        <w:snapToGrid w:val="0"/>
        <w:spacing w:line="360" w:lineRule="auto"/>
        <w:rPr>
          <w:rFonts w:hAnsi="宋体"/>
          <w:b/>
          <w:sz w:val="24"/>
          <w:szCs w:val="24"/>
        </w:rPr>
      </w:pPr>
      <w:r>
        <w:rPr>
          <w:rFonts w:hint="eastAsia" w:hAnsi="宋体"/>
          <w:b/>
          <w:sz w:val="24"/>
          <w:szCs w:val="24"/>
        </w:rPr>
        <w:t>第一章  投标邀请</w:t>
      </w:r>
    </w:p>
    <w:p>
      <w:pPr>
        <w:pStyle w:val="8"/>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8"/>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hint="eastAsia" w:ascii="宋体" w:hAnsi="宋体"/>
          <w:b/>
          <w:sz w:val="24"/>
        </w:rPr>
      </w:pPr>
      <w:r>
        <w:rPr>
          <w:rFonts w:hint="eastAsia" w:hAnsi="宋体"/>
          <w:b/>
          <w:sz w:val="24"/>
        </w:rPr>
        <w:t>第</w:t>
      </w:r>
      <w:r>
        <w:rPr>
          <w:rFonts w:hint="eastAsia" w:hAnsi="宋体"/>
          <w:b/>
          <w:sz w:val="24"/>
          <w:lang w:val="en-US" w:eastAsia="zh-CN"/>
        </w:rPr>
        <w:t>五</w:t>
      </w:r>
      <w:r>
        <w:rPr>
          <w:rFonts w:hint="eastAsia" w:hAnsi="宋体"/>
          <w:b/>
          <w:sz w:val="24"/>
        </w:rPr>
        <w:t xml:space="preserve">章  </w:t>
      </w:r>
      <w:r>
        <w:rPr>
          <w:rFonts w:hint="eastAsia" w:ascii="宋体" w:hAnsi="宋体"/>
          <w:b/>
          <w:sz w:val="24"/>
        </w:rPr>
        <w:t>投标文件组成</w:t>
      </w:r>
    </w:p>
    <w:p>
      <w:pPr>
        <w:pStyle w:val="8"/>
        <w:adjustRightInd w:val="0"/>
        <w:snapToGrid w:val="0"/>
        <w:spacing w:line="360" w:lineRule="auto"/>
        <w:rPr>
          <w:rFonts w:hint="default" w:hAnsi="宋体" w:eastAsia="宋体"/>
          <w:b/>
          <w:sz w:val="24"/>
          <w:szCs w:val="24"/>
          <w:lang w:val="en-US" w:eastAsia="zh-CN"/>
        </w:rPr>
      </w:pPr>
      <w:r>
        <w:rPr>
          <w:rFonts w:hint="eastAsia" w:hAnsi="宋体"/>
          <w:b/>
          <w:sz w:val="24"/>
          <w:szCs w:val="24"/>
        </w:rPr>
        <w:t>第</w:t>
      </w:r>
      <w:r>
        <w:rPr>
          <w:rFonts w:hint="eastAsia" w:hAnsi="宋体"/>
          <w:b/>
          <w:sz w:val="24"/>
          <w:szCs w:val="24"/>
          <w:lang w:val="en-US" w:eastAsia="zh-CN"/>
        </w:rPr>
        <w:t>六</w:t>
      </w:r>
      <w:r>
        <w:rPr>
          <w:rFonts w:hint="eastAsia" w:hAnsi="宋体"/>
          <w:b/>
          <w:sz w:val="24"/>
          <w:szCs w:val="24"/>
        </w:rPr>
        <w:t>章  技术</w:t>
      </w:r>
      <w:r>
        <w:rPr>
          <w:rFonts w:hint="eastAsia" w:hAnsi="宋体"/>
          <w:b/>
          <w:sz w:val="24"/>
          <w:szCs w:val="24"/>
          <w:lang w:val="en-US" w:eastAsia="zh-CN"/>
        </w:rPr>
        <w:t>规范书</w:t>
      </w:r>
    </w:p>
    <w:p>
      <w:pPr>
        <w:autoSpaceDE w:val="0"/>
        <w:autoSpaceDN w:val="0"/>
        <w:adjustRightInd w:val="0"/>
        <w:snapToGrid w:val="0"/>
        <w:spacing w:line="360" w:lineRule="auto"/>
        <w:rPr>
          <w:rFonts w:hint="eastAsia"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pStyle w:val="2"/>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rFonts w:hint="eastAsia"/>
          <w:sz w:val="24"/>
          <w:lang w:val="en-US" w:eastAsia="zh-CN"/>
        </w:rPr>
        <w:t>生态盐分级分筛车间建设项目—</w:t>
      </w:r>
      <w:r>
        <w:rPr>
          <w:rFonts w:hint="eastAsia"/>
          <w:sz w:val="24"/>
          <w:szCs w:val="24"/>
          <w:lang w:val="en-US" w:eastAsia="zh-CN"/>
        </w:rPr>
        <w:t>小包二期除尘系统升级改造</w:t>
      </w:r>
      <w:r>
        <w:rPr>
          <w:sz w:val="24"/>
        </w:rPr>
        <w:t>项目进行</w:t>
      </w:r>
      <w:r>
        <w:rPr>
          <w:rFonts w:hint="eastAsia"/>
          <w:sz w:val="24"/>
        </w:rPr>
        <w:t>内部</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sz w:val="30"/>
        </w:rPr>
      </w:pPr>
      <w:r>
        <w:rPr>
          <w:rFonts w:hint="eastAsia"/>
          <w:sz w:val="24"/>
        </w:rPr>
        <w:t>（1）</w:t>
      </w:r>
      <w:r>
        <w:rPr>
          <w:sz w:val="24"/>
        </w:rPr>
        <w:t>货物名称：</w:t>
      </w:r>
      <w:r>
        <w:rPr>
          <w:rFonts w:hint="eastAsia"/>
          <w:sz w:val="24"/>
        </w:rPr>
        <w:t>湖南省湘澧盐化有限责任公司</w:t>
      </w:r>
      <w:r>
        <w:rPr>
          <w:rFonts w:hint="eastAsia"/>
          <w:sz w:val="24"/>
          <w:lang w:val="en-US" w:eastAsia="zh-CN"/>
        </w:rPr>
        <w:t>生态盐分级分筛车间建设项目—</w:t>
      </w:r>
      <w:r>
        <w:rPr>
          <w:rFonts w:hint="eastAsia"/>
          <w:sz w:val="24"/>
          <w:szCs w:val="24"/>
          <w:lang w:val="en-US" w:eastAsia="zh-CN"/>
        </w:rPr>
        <w:t>小包二期除尘系统升级改造</w:t>
      </w:r>
      <w:r>
        <w:rPr>
          <w:sz w:val="24"/>
        </w:rPr>
        <w:t>项目</w:t>
      </w:r>
      <w:r>
        <w:rPr>
          <w:rFonts w:hint="eastAsia"/>
          <w:sz w:val="24"/>
          <w:szCs w:val="24"/>
          <w:lang w:val="en-US" w:eastAsia="zh-CN"/>
        </w:rPr>
        <w:t>相关设备采购、设备及管路</w:t>
      </w:r>
      <w:r>
        <w:rPr>
          <w:rFonts w:hint="eastAsia"/>
          <w:sz w:val="24"/>
        </w:rPr>
        <w:t>制作及安装。</w:t>
      </w:r>
    </w:p>
    <w:p>
      <w:pPr>
        <w:spacing w:line="480" w:lineRule="exact"/>
        <w:ind w:right="454"/>
        <w:rPr>
          <w:rFonts w:hint="default" w:eastAsia="宋体"/>
          <w:sz w:val="30"/>
          <w:lang w:val="en-US" w:eastAsia="zh-CN"/>
        </w:rPr>
      </w:pPr>
      <w:r>
        <w:rPr>
          <w:rFonts w:hint="eastAsia"/>
          <w:sz w:val="24"/>
        </w:rPr>
        <w:t>（2）</w:t>
      </w:r>
      <w:r>
        <w:rPr>
          <w:sz w:val="24"/>
        </w:rPr>
        <w:t>数</w:t>
      </w:r>
      <w:r>
        <w:rPr>
          <w:sz w:val="24"/>
        </w:rPr>
        <w:tab/>
      </w:r>
      <w:r>
        <w:rPr>
          <w:sz w:val="24"/>
        </w:rPr>
        <w:t xml:space="preserve">量： </w:t>
      </w:r>
      <w:r>
        <w:rPr>
          <w:rFonts w:hint="eastAsia"/>
          <w:sz w:val="24"/>
          <w:lang w:val="en-US" w:eastAsia="zh-CN"/>
        </w:rPr>
        <w:t>除尘系统2套</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sz w:val="24"/>
        </w:rPr>
        <w:t>交货期：</w:t>
      </w:r>
      <w:r>
        <w:rPr>
          <w:rFonts w:hint="eastAsia"/>
          <w:sz w:val="24"/>
        </w:rPr>
        <w:t xml:space="preserve"> </w:t>
      </w:r>
      <w:r>
        <w:rPr>
          <w:rFonts w:hint="eastAsia"/>
          <w:sz w:val="24"/>
          <w:lang w:val="en-US" w:eastAsia="zh-CN"/>
        </w:rPr>
        <w:t>60</w:t>
      </w:r>
      <w:r>
        <w:rPr>
          <w:sz w:val="24"/>
        </w:rPr>
        <w:t>日历天</w:t>
      </w:r>
    </w:p>
    <w:p>
      <w:pPr>
        <w:spacing w:before="66" w:line="480" w:lineRule="exact"/>
        <w:ind w:right="454"/>
        <w:rPr>
          <w:rFonts w:hint="default" w:eastAsia="宋体"/>
          <w:sz w:val="24"/>
          <w:lang w:val="en-US" w:eastAsia="zh-CN"/>
        </w:rPr>
      </w:pPr>
      <w:r>
        <w:rPr>
          <w:rFonts w:hint="eastAsia"/>
          <w:sz w:val="24"/>
        </w:rPr>
        <w:t>（5）</w:t>
      </w:r>
      <w:r>
        <w:rPr>
          <w:sz w:val="24"/>
        </w:rPr>
        <w:t>交货地点：津市市盐矿社区湘澧盐化</w:t>
      </w:r>
      <w:r>
        <w:rPr>
          <w:rFonts w:hint="eastAsia"/>
          <w:sz w:val="24"/>
          <w:lang w:val="en-US" w:eastAsia="zh-CN"/>
        </w:rPr>
        <w:t>包装厂</w:t>
      </w:r>
    </w:p>
    <w:p>
      <w:pPr>
        <w:spacing w:line="480" w:lineRule="exact"/>
        <w:ind w:right="454"/>
        <w:rPr>
          <w:b/>
          <w:sz w:val="28"/>
          <w:szCs w:val="28"/>
        </w:rPr>
      </w:pPr>
      <w:r>
        <w:rPr>
          <w:rFonts w:hint="eastAsia"/>
          <w:b/>
          <w:sz w:val="28"/>
          <w:szCs w:val="28"/>
        </w:rPr>
        <w:t>2、</w:t>
      </w:r>
      <w:r>
        <w:rPr>
          <w:b/>
          <w:sz w:val="28"/>
          <w:szCs w:val="28"/>
        </w:rPr>
        <w:t>投标人资格要求</w:t>
      </w:r>
    </w:p>
    <w:p>
      <w:pPr>
        <w:pStyle w:val="22"/>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2"/>
        <w:tabs>
          <w:tab w:val="left" w:pos="1441"/>
        </w:tabs>
        <w:spacing w:before="11" w:line="480" w:lineRule="exact"/>
        <w:ind w:left="0" w:right="454" w:firstLine="0"/>
        <w:rPr>
          <w:rFonts w:hint="eastAsia"/>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2"/>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2"/>
        <w:tabs>
          <w:tab w:val="left" w:pos="1441"/>
        </w:tabs>
        <w:spacing w:before="66" w:line="480" w:lineRule="exact"/>
        <w:ind w:left="0" w:right="454" w:firstLine="0"/>
        <w:rPr>
          <w:sz w:val="24"/>
        </w:rPr>
      </w:pPr>
      <w:r>
        <w:rPr>
          <w:rFonts w:hint="eastAsia"/>
          <w:sz w:val="24"/>
        </w:rPr>
        <w:t>（</w:t>
      </w:r>
      <w:r>
        <w:rPr>
          <w:rFonts w:hint="eastAsia"/>
          <w:sz w:val="24"/>
          <w:lang w:val="en-US" w:eastAsia="zh-CN"/>
        </w:rPr>
        <w:t>4</w:t>
      </w:r>
      <w:r>
        <w:rPr>
          <w:rFonts w:hint="eastAsia"/>
          <w:sz w:val="24"/>
        </w:rPr>
        <w:t>）</w:t>
      </w:r>
      <w:r>
        <w:rPr>
          <w:sz w:val="24"/>
        </w:rPr>
        <w:t>业绩要求：投标人近三年至少承担过</w:t>
      </w:r>
      <w:r>
        <w:rPr>
          <w:rFonts w:hint="eastAsia"/>
          <w:sz w:val="24"/>
          <w:lang w:val="en-US"/>
        </w:rPr>
        <w:t>一项同类型</w:t>
      </w:r>
      <w:r>
        <w:rPr>
          <w:rFonts w:hint="eastAsia"/>
          <w:sz w:val="24"/>
          <w:lang w:val="en-US" w:eastAsia="zh-CN"/>
        </w:rPr>
        <w:t>除尘系统制造、安装</w:t>
      </w:r>
      <w:r>
        <w:rPr>
          <w:sz w:val="24"/>
        </w:rPr>
        <w:t>业绩</w:t>
      </w:r>
      <w:r>
        <w:rPr>
          <w:rFonts w:hint="eastAsia"/>
          <w:sz w:val="24"/>
        </w:rPr>
        <w:t>。</w:t>
      </w:r>
    </w:p>
    <w:p>
      <w:pPr>
        <w:pStyle w:val="22"/>
        <w:tabs>
          <w:tab w:val="left" w:pos="1441"/>
        </w:tabs>
        <w:spacing w:before="66" w:line="480" w:lineRule="exact"/>
        <w:ind w:left="0" w:right="454" w:firstLine="0"/>
        <w:rPr>
          <w:sz w:val="24"/>
        </w:rPr>
      </w:pPr>
      <w:r>
        <w:rPr>
          <w:rFonts w:hint="eastAsia"/>
          <w:sz w:val="24"/>
        </w:rPr>
        <w:t>（</w:t>
      </w:r>
      <w:r>
        <w:rPr>
          <w:rFonts w:hint="eastAsia"/>
          <w:sz w:val="24"/>
          <w:lang w:val="en-US" w:eastAsia="zh-CN"/>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2"/>
        <w:tabs>
          <w:tab w:val="left" w:pos="1441"/>
        </w:tabs>
        <w:spacing w:before="43" w:line="480" w:lineRule="exact"/>
        <w:ind w:left="0" w:right="454" w:firstLine="0"/>
        <w:rPr>
          <w:sz w:val="24"/>
        </w:rPr>
      </w:pPr>
      <w:r>
        <w:rPr>
          <w:rFonts w:hint="eastAsia"/>
          <w:sz w:val="24"/>
        </w:rPr>
        <w:t>（</w:t>
      </w:r>
      <w:r>
        <w:rPr>
          <w:rFonts w:hint="eastAsia"/>
          <w:sz w:val="24"/>
          <w:lang w:val="en-US" w:eastAsia="zh-CN"/>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2"/>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color w:val="auto"/>
          <w:sz w:val="24"/>
        </w:rPr>
      </w:pPr>
      <w:r>
        <w:rPr>
          <w:rFonts w:hint="eastAsia"/>
          <w:sz w:val="24"/>
        </w:rPr>
        <w:t>（1）</w:t>
      </w:r>
      <w:r>
        <w:rPr>
          <w:sz w:val="24"/>
        </w:rPr>
        <w:t>投标截止时间：</w:t>
      </w:r>
      <w:r>
        <w:rPr>
          <w:rFonts w:hint="eastAsia"/>
          <w:color w:val="auto"/>
          <w:sz w:val="24"/>
        </w:rPr>
        <w:t>20</w:t>
      </w:r>
      <w:r>
        <w:rPr>
          <w:rFonts w:hint="eastAsia"/>
          <w:color w:val="auto"/>
          <w:sz w:val="24"/>
          <w:lang w:val="en-US" w:eastAsia="zh-CN"/>
        </w:rPr>
        <w:t>24</w:t>
      </w:r>
      <w:r>
        <w:rPr>
          <w:rFonts w:hint="eastAsia"/>
          <w:color w:val="auto"/>
          <w:sz w:val="24"/>
        </w:rPr>
        <w:t>年</w:t>
      </w:r>
      <w:r>
        <w:rPr>
          <w:rFonts w:hint="eastAsia"/>
          <w:color w:val="auto"/>
          <w:sz w:val="24"/>
          <w:lang w:val="en-US" w:eastAsia="zh-CN"/>
        </w:rPr>
        <w:t>4</w:t>
      </w:r>
      <w:r>
        <w:rPr>
          <w:rFonts w:hint="eastAsia"/>
          <w:color w:val="auto"/>
          <w:sz w:val="24"/>
        </w:rPr>
        <w:t>月</w:t>
      </w:r>
      <w:r>
        <w:rPr>
          <w:rFonts w:hint="eastAsia"/>
          <w:color w:val="auto"/>
          <w:sz w:val="24"/>
          <w:lang w:val="en-US" w:eastAsia="zh-CN"/>
        </w:rPr>
        <w:t>8</w:t>
      </w:r>
      <w:r>
        <w:rPr>
          <w:rFonts w:hint="eastAsia"/>
          <w:color w:val="auto"/>
          <w:sz w:val="24"/>
        </w:rPr>
        <w:t>日1</w:t>
      </w:r>
      <w:r>
        <w:rPr>
          <w:rFonts w:hint="eastAsia"/>
          <w:color w:val="auto"/>
          <w:sz w:val="24"/>
          <w:lang w:val="en-US" w:eastAsia="zh-CN"/>
        </w:rPr>
        <w:t>5</w:t>
      </w:r>
      <w:r>
        <w:rPr>
          <w:rFonts w:hint="eastAsia"/>
          <w:color w:val="auto"/>
          <w:sz w:val="24"/>
        </w:rPr>
        <w:t>:00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w:t>
      </w:r>
      <w:r>
        <w:rPr>
          <w:rFonts w:hint="eastAsia"/>
          <w:sz w:val="24"/>
          <w:lang w:val="en-US" w:eastAsia="zh-CN"/>
        </w:rPr>
        <w:t>质量部会议室</w:t>
      </w:r>
      <w:r>
        <w:rPr>
          <w:rFonts w:hint="eastAsia"/>
          <w:sz w:val="24"/>
        </w:rPr>
        <w:t>。</w:t>
      </w:r>
    </w:p>
    <w:p>
      <w:pPr>
        <w:spacing w:line="480" w:lineRule="exact"/>
        <w:ind w:right="454"/>
        <w:rPr>
          <w:color w:val="FF0000"/>
          <w:sz w:val="24"/>
        </w:rPr>
      </w:pPr>
      <w:r>
        <w:rPr>
          <w:rFonts w:hint="eastAsia"/>
          <w:sz w:val="24"/>
        </w:rPr>
        <w:t>（4）开标时间：</w:t>
      </w:r>
      <w:r>
        <w:rPr>
          <w:rFonts w:hint="eastAsia"/>
          <w:b w:val="0"/>
          <w:bCs w:val="0"/>
          <w:color w:val="auto"/>
          <w:sz w:val="24"/>
        </w:rPr>
        <w:t>20</w:t>
      </w:r>
      <w:r>
        <w:rPr>
          <w:rFonts w:hint="eastAsia"/>
          <w:b w:val="0"/>
          <w:bCs w:val="0"/>
          <w:color w:val="auto"/>
          <w:sz w:val="24"/>
          <w:lang w:val="en-US" w:eastAsia="zh-CN"/>
        </w:rPr>
        <w:t>24</w:t>
      </w:r>
      <w:r>
        <w:rPr>
          <w:rFonts w:hint="eastAsia"/>
          <w:b w:val="0"/>
          <w:bCs w:val="0"/>
          <w:color w:val="auto"/>
          <w:sz w:val="24"/>
        </w:rPr>
        <w:t>年</w:t>
      </w:r>
      <w:r>
        <w:rPr>
          <w:rFonts w:hint="eastAsia"/>
          <w:b w:val="0"/>
          <w:bCs w:val="0"/>
          <w:color w:val="auto"/>
          <w:sz w:val="24"/>
          <w:lang w:val="en-US" w:eastAsia="zh-CN"/>
        </w:rPr>
        <w:t>4</w:t>
      </w:r>
      <w:r>
        <w:rPr>
          <w:rFonts w:hint="eastAsia"/>
          <w:b w:val="0"/>
          <w:bCs w:val="0"/>
          <w:color w:val="auto"/>
          <w:sz w:val="24"/>
        </w:rPr>
        <w:t>月</w:t>
      </w:r>
      <w:r>
        <w:rPr>
          <w:rFonts w:hint="eastAsia"/>
          <w:b w:val="0"/>
          <w:bCs w:val="0"/>
          <w:color w:val="auto"/>
          <w:sz w:val="24"/>
          <w:lang w:val="en-US" w:eastAsia="zh-CN"/>
        </w:rPr>
        <w:t>8</w:t>
      </w:r>
      <w:bookmarkStart w:id="226" w:name="_GoBack"/>
      <w:bookmarkEnd w:id="226"/>
      <w:r>
        <w:rPr>
          <w:rFonts w:hint="eastAsia"/>
          <w:b w:val="0"/>
          <w:bCs w:val="0"/>
          <w:color w:val="auto"/>
          <w:sz w:val="24"/>
        </w:rPr>
        <w:t>日15:00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lang w:val="en-US" w:eastAsia="zh-CN"/>
        </w:rPr>
        <w:t>谭先生</w:t>
      </w:r>
      <w:r>
        <w:rPr>
          <w:sz w:val="24"/>
        </w:rPr>
        <w:tab/>
      </w:r>
      <w:r>
        <w:rPr>
          <w:sz w:val="24"/>
        </w:rPr>
        <w:t>电话：13</w:t>
      </w:r>
      <w:r>
        <w:rPr>
          <w:rFonts w:hint="eastAsia"/>
          <w:sz w:val="24"/>
        </w:rPr>
        <w:t>5</w:t>
      </w:r>
      <w:r>
        <w:rPr>
          <w:rFonts w:hint="eastAsia"/>
          <w:sz w:val="24"/>
          <w:lang w:val="en-US" w:eastAsia="zh-CN"/>
        </w:rPr>
        <w:t>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color w:val="FF0000"/>
          <w:sz w:val="24"/>
        </w:rPr>
      </w:pPr>
      <w:r>
        <w:rPr>
          <w:rFonts w:hint="eastAsia"/>
          <w:color w:val="auto"/>
          <w:sz w:val="24"/>
        </w:rPr>
        <w:t>20</w:t>
      </w:r>
      <w:r>
        <w:rPr>
          <w:rFonts w:hint="eastAsia"/>
          <w:color w:val="auto"/>
          <w:sz w:val="24"/>
          <w:lang w:val="en-US" w:eastAsia="zh-CN"/>
        </w:rPr>
        <w:t>24</w:t>
      </w:r>
      <w:r>
        <w:rPr>
          <w:rFonts w:hint="eastAsia"/>
          <w:color w:val="auto"/>
          <w:sz w:val="24"/>
        </w:rPr>
        <w:t>年</w:t>
      </w:r>
      <w:r>
        <w:rPr>
          <w:rFonts w:hint="eastAsia"/>
          <w:color w:val="auto"/>
          <w:sz w:val="24"/>
          <w:lang w:val="en-US" w:eastAsia="zh-CN"/>
        </w:rPr>
        <w:t>2</w:t>
      </w:r>
      <w:r>
        <w:rPr>
          <w:rFonts w:hint="eastAsia"/>
          <w:color w:val="auto"/>
          <w:sz w:val="24"/>
        </w:rPr>
        <w:t>月</w:t>
      </w:r>
      <w:r>
        <w:rPr>
          <w:rFonts w:hint="eastAsia"/>
          <w:color w:val="auto"/>
          <w:sz w:val="24"/>
          <w:lang w:val="en-US" w:eastAsia="zh-CN"/>
        </w:rPr>
        <w:t>5</w:t>
      </w:r>
      <w:r>
        <w:rPr>
          <w:rFonts w:hint="eastAsia"/>
          <w:color w:val="auto"/>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both"/>
        <w:rPr>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rFonts w:hint="eastAsia"/>
          <w:sz w:val="24"/>
        </w:rPr>
      </w:pPr>
    </w:p>
    <w:p>
      <w:pPr>
        <w:spacing w:line="460" w:lineRule="exact"/>
        <w:ind w:right="-2"/>
        <w:jc w:val="left"/>
        <w:rPr>
          <w:rFonts w:hint="eastAsia"/>
          <w:sz w:val="24"/>
        </w:rPr>
      </w:pPr>
    </w:p>
    <w:p>
      <w:pPr>
        <w:spacing w:line="460" w:lineRule="exact"/>
        <w:ind w:right="-2"/>
        <w:jc w:val="left"/>
        <w:rPr>
          <w:sz w:val="24"/>
        </w:rPr>
      </w:pPr>
      <w:r>
        <w:rPr>
          <w:rFonts w:hint="eastAsia"/>
          <w:sz w:val="24"/>
        </w:rPr>
        <w:t>一、招标范围：</w:t>
      </w:r>
    </w:p>
    <w:p>
      <w:pPr>
        <w:spacing w:line="460" w:lineRule="exact"/>
        <w:ind w:right="-2" w:firstLine="480" w:firstLineChars="200"/>
        <w:jc w:val="left"/>
        <w:rPr>
          <w:sz w:val="24"/>
        </w:rPr>
      </w:pPr>
      <w:r>
        <w:rPr>
          <w:rFonts w:hint="eastAsia"/>
          <w:sz w:val="24"/>
        </w:rPr>
        <w:t>湖南省湘澧盐化有限责任公司</w:t>
      </w:r>
      <w:r>
        <w:rPr>
          <w:rFonts w:hint="eastAsia"/>
          <w:sz w:val="24"/>
          <w:lang w:val="en-US" w:eastAsia="zh-CN"/>
        </w:rPr>
        <w:t>生态盐分级分筛车间建设项目—</w:t>
      </w:r>
      <w:r>
        <w:rPr>
          <w:rFonts w:hint="eastAsia"/>
          <w:sz w:val="24"/>
          <w:szCs w:val="24"/>
          <w:lang w:val="en-US" w:eastAsia="zh-CN"/>
        </w:rPr>
        <w:t>小包二期除尘系统升级改造相关设备采购、设备及管路</w:t>
      </w:r>
      <w:r>
        <w:rPr>
          <w:rFonts w:hint="eastAsia"/>
          <w:sz w:val="24"/>
        </w:rPr>
        <w:t>制作及安装。</w:t>
      </w:r>
    </w:p>
    <w:p>
      <w:pPr>
        <w:pStyle w:val="22"/>
        <w:spacing w:before="58" w:line="460" w:lineRule="exact"/>
        <w:ind w:left="0" w:firstLine="0"/>
        <w:rPr>
          <w:sz w:val="24"/>
        </w:rPr>
      </w:pPr>
      <w:r>
        <w:rPr>
          <w:rFonts w:hint="eastAsia"/>
          <w:sz w:val="24"/>
        </w:rPr>
        <w:t>二、投标人资格：</w:t>
      </w:r>
    </w:p>
    <w:p>
      <w:pPr>
        <w:pStyle w:val="22"/>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2"/>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2"/>
        <w:tabs>
          <w:tab w:val="left" w:pos="1441"/>
        </w:tabs>
        <w:spacing w:before="66" w:line="460" w:lineRule="exact"/>
        <w:ind w:left="0" w:firstLine="0"/>
        <w:rPr>
          <w:sz w:val="24"/>
        </w:rPr>
      </w:pPr>
      <w:r>
        <w:rPr>
          <w:sz w:val="24"/>
        </w:rPr>
        <w:t>财务状态要求：具有良好的商业信誉和健全的财务会计制度</w:t>
      </w:r>
    </w:p>
    <w:p>
      <w:pPr>
        <w:pStyle w:val="22"/>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一项同类型号</w:t>
      </w:r>
      <w:r>
        <w:rPr>
          <w:rFonts w:hint="eastAsia"/>
          <w:sz w:val="24"/>
          <w:lang w:val="en-US" w:eastAsia="zh-CN"/>
        </w:rPr>
        <w:t>除尘系统生产</w:t>
      </w:r>
      <w:r>
        <w:rPr>
          <w:sz w:val="24"/>
        </w:rPr>
        <w:t>业绩</w:t>
      </w:r>
      <w:r>
        <w:rPr>
          <w:rFonts w:hint="eastAsia"/>
          <w:sz w:val="24"/>
        </w:rPr>
        <w:t>。</w:t>
      </w:r>
    </w:p>
    <w:p>
      <w:pPr>
        <w:pStyle w:val="22"/>
        <w:tabs>
          <w:tab w:val="left" w:pos="1441"/>
        </w:tabs>
        <w:spacing w:before="66" w:line="460" w:lineRule="exact"/>
        <w:ind w:left="0" w:firstLine="240" w:firstLineChars="100"/>
        <w:rPr>
          <w:sz w:val="24"/>
        </w:rPr>
      </w:pPr>
      <w:r>
        <w:rPr>
          <w:rFonts w:hint="eastAsia"/>
          <w:sz w:val="24"/>
        </w:rPr>
        <w:t>（</w:t>
      </w:r>
      <w:r>
        <w:rPr>
          <w:rFonts w:hint="eastAsia"/>
          <w:sz w:val="24"/>
          <w:lang w:val="en-US" w:eastAsia="zh-CN"/>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2"/>
        <w:tabs>
          <w:tab w:val="left" w:pos="1441"/>
        </w:tabs>
        <w:spacing w:before="43" w:line="460" w:lineRule="exact"/>
        <w:ind w:left="0" w:firstLine="240" w:firstLineChars="100"/>
        <w:rPr>
          <w:sz w:val="24"/>
        </w:rPr>
      </w:pPr>
      <w:r>
        <w:rPr>
          <w:rFonts w:hint="eastAsia"/>
          <w:sz w:val="24"/>
        </w:rPr>
        <w:t>（</w:t>
      </w:r>
      <w:r>
        <w:rPr>
          <w:rFonts w:hint="eastAsia"/>
          <w:sz w:val="24"/>
          <w:lang w:val="en-US" w:eastAsia="zh-CN"/>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2"/>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18"/>
        </w:rPr>
      </w:pPr>
      <w:r>
        <w:rPr>
          <w:rFonts w:hint="eastAsia"/>
          <w:sz w:val="24"/>
        </w:rPr>
        <w:t>③</w:t>
      </w:r>
      <w:r>
        <w:rPr>
          <w:sz w:val="24"/>
        </w:rPr>
        <w:t>本次招标不接受</w:t>
      </w:r>
      <w:r>
        <w:rPr>
          <w:spacing w:val="-10"/>
          <w:sz w:val="24"/>
        </w:rPr>
        <w:t>联合体投标。</w:t>
      </w:r>
    </w:p>
    <w:p>
      <w:pPr>
        <w:spacing w:line="460" w:lineRule="exact"/>
        <w:ind w:right="-2"/>
        <w:jc w:val="left"/>
        <w:rPr>
          <w:sz w:val="24"/>
        </w:rPr>
      </w:pPr>
      <w:r>
        <w:rPr>
          <w:rFonts w:hint="eastAsia"/>
          <w:sz w:val="24"/>
        </w:rPr>
        <w:t>三、现场勘察：</w:t>
      </w:r>
    </w:p>
    <w:p>
      <w:pPr>
        <w:spacing w:line="460" w:lineRule="exact"/>
        <w:ind w:right="-2" w:firstLine="480" w:firstLineChars="200"/>
        <w:jc w:val="left"/>
        <w:rPr>
          <w:sz w:val="24"/>
        </w:rPr>
      </w:pPr>
      <w:r>
        <w:rPr>
          <w:rFonts w:hint="eastAsia"/>
          <w:sz w:val="24"/>
        </w:rPr>
        <w:t>投标人自行联系招标人进行现场勘察。</w:t>
      </w:r>
    </w:p>
    <w:p>
      <w:pPr>
        <w:spacing w:line="460" w:lineRule="exact"/>
        <w:ind w:right="-2"/>
        <w:jc w:val="left"/>
        <w:rPr>
          <w:rFonts w:ascii="宋体" w:hAnsi="宋体"/>
          <w:color w:val="000000"/>
          <w:sz w:val="24"/>
        </w:rPr>
      </w:pPr>
      <w:r>
        <w:rPr>
          <w:rFonts w:hint="eastAsia"/>
          <w:sz w:val="24"/>
        </w:rPr>
        <w:t>四、</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w:t>
      </w:r>
      <w:r>
        <w:rPr>
          <w:rFonts w:hint="eastAsia" w:ascii="宋体" w:hAnsi="宋体"/>
          <w:color w:val="000000"/>
          <w:sz w:val="24"/>
          <w:lang w:val="en-US" w:eastAsia="zh-CN"/>
        </w:rPr>
        <w:t>60</w:t>
      </w:r>
      <w:r>
        <w:rPr>
          <w:rFonts w:hint="eastAsia" w:ascii="宋体" w:hAnsi="宋体"/>
          <w:color w:val="000000"/>
          <w:sz w:val="24"/>
        </w:rPr>
        <w:t>天内交货，交货地点为湖南省湘澧盐化有限责任公司内。</w:t>
      </w:r>
    </w:p>
    <w:p>
      <w:pPr>
        <w:spacing w:line="460" w:lineRule="exact"/>
        <w:ind w:right="-2"/>
        <w:jc w:val="left"/>
        <w:rPr>
          <w:rFonts w:ascii="宋体" w:hAnsi="宋体"/>
          <w:color w:val="000000"/>
          <w:sz w:val="24"/>
        </w:rPr>
      </w:pPr>
      <w:r>
        <w:rPr>
          <w:rFonts w:hint="eastAsia" w:ascii="宋体" w:hAnsi="宋体"/>
          <w:color w:val="000000"/>
          <w:sz w:val="24"/>
        </w:rPr>
        <w:t>五、运输要求：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w:t>
      </w:r>
      <w:r>
        <w:rPr>
          <w:rFonts w:hint="eastAsia" w:ascii="宋体" w:hAnsi="宋体"/>
          <w:color w:val="000000"/>
          <w:sz w:val="24"/>
          <w:lang w:val="en-US" w:eastAsia="zh-CN"/>
        </w:rPr>
        <w:t>包装厂安装</w:t>
      </w:r>
      <w:r>
        <w:rPr>
          <w:rFonts w:hint="eastAsia" w:ascii="宋体" w:hAnsi="宋体"/>
          <w:color w:val="000000"/>
          <w:sz w:val="24"/>
        </w:rPr>
        <w:t>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rPr>
        <w:t>六、验收标准：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七、质保期：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质保期为验收合格后12个月（各品目有具体要求的按照设备要求）。在质保期内，如有质量问题，卖方应免费更换。</w:t>
      </w:r>
    </w:p>
    <w:p>
      <w:pPr>
        <w:autoSpaceDE w:val="0"/>
        <w:autoSpaceDN w:val="0"/>
        <w:adjustRightInd w:val="0"/>
        <w:spacing w:line="460" w:lineRule="exact"/>
        <w:rPr>
          <w:rFonts w:ascii="宋体"/>
          <w:color w:val="000000"/>
          <w:sz w:val="24"/>
        </w:rPr>
      </w:pPr>
      <w:r>
        <w:rPr>
          <w:rFonts w:hint="eastAsia" w:ascii="宋体" w:hAnsi="宋体"/>
          <w:color w:val="000000"/>
          <w:sz w:val="24"/>
        </w:rPr>
        <w:t>八、支付方式：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w:t>
      </w:r>
      <w:r>
        <w:rPr>
          <w:rFonts w:hint="eastAsia" w:ascii="宋体" w:hAnsi="宋体"/>
          <w:color w:val="000000"/>
          <w:sz w:val="24"/>
          <w:lang w:val="en-US" w:eastAsia="zh-CN"/>
        </w:rPr>
        <w:t>设备及相关材料等</w:t>
      </w:r>
      <w:r>
        <w:rPr>
          <w:rFonts w:hint="eastAsia" w:ascii="宋体" w:hAnsi="宋体"/>
          <w:color w:val="000000"/>
          <w:sz w:val="24"/>
        </w:rPr>
        <w:t>发货</w:t>
      </w:r>
      <w:r>
        <w:rPr>
          <w:rFonts w:hint="eastAsia" w:ascii="宋体" w:hAnsi="宋体"/>
          <w:color w:val="000000"/>
          <w:sz w:val="24"/>
          <w:lang w:val="en-US" w:eastAsia="zh-CN"/>
        </w:rPr>
        <w:t>到安装现场验收后，</w:t>
      </w:r>
      <w:r>
        <w:rPr>
          <w:rFonts w:hint="eastAsia" w:ascii="宋体" w:hAnsi="宋体"/>
          <w:color w:val="000000"/>
          <w:sz w:val="24"/>
        </w:rPr>
        <w:t>支付合同价款的60%，安装验收合格后支付至合同价款的90%，留10%的质保金</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b w:val="0"/>
          <w:bCs w:val="0"/>
          <w:sz w:val="24"/>
        </w:rPr>
        <w:t>（1）</w:t>
      </w:r>
      <w:r>
        <w:rPr>
          <w:rFonts w:hint="eastAsia" w:ascii="宋体" w:hAnsi="宋体"/>
          <w:b w:val="0"/>
          <w:bCs w:val="0"/>
          <w:color w:val="000000"/>
          <w:sz w:val="24"/>
        </w:rPr>
        <w:t>本项目设最高</w:t>
      </w:r>
      <w:r>
        <w:rPr>
          <w:b w:val="0"/>
          <w:bCs w:val="0"/>
          <w:sz w:val="24"/>
        </w:rPr>
        <w:t>投标限价</w:t>
      </w:r>
      <w:r>
        <w:rPr>
          <w:rFonts w:hint="eastAsia"/>
          <w:b w:val="0"/>
          <w:bCs w:val="0"/>
          <w:sz w:val="24"/>
        </w:rPr>
        <w:t>，最高投标限价在投标截止时间到期后经评标委员会组织的评标预备会议上确定</w:t>
      </w:r>
      <w:r>
        <w:rPr>
          <w:rFonts w:hint="eastAsia"/>
          <w:b w:val="0"/>
          <w:bCs w:val="0"/>
          <w:sz w:val="24"/>
          <w:lang w:val="en-US" w:eastAsia="zh-CN"/>
        </w:rPr>
        <w:t>的196万（壹佰玖拾陆万元整）</w:t>
      </w:r>
      <w:r>
        <w:rPr>
          <w:rFonts w:hint="eastAsia"/>
          <w:b w:val="0"/>
          <w:bCs w:val="0"/>
          <w:sz w:val="24"/>
        </w:rPr>
        <w:t>。</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w:t>
      </w:r>
      <w:r>
        <w:rPr>
          <w:rFonts w:hint="eastAsia" w:ascii="宋体" w:hAnsi="宋体"/>
          <w:color w:val="000000"/>
          <w:sz w:val="24"/>
          <w:lang w:val="en-US" w:eastAsia="zh-CN"/>
        </w:rPr>
        <w:t>采购</w:t>
      </w:r>
      <w:r>
        <w:rPr>
          <w:rFonts w:hint="eastAsia" w:ascii="宋体" w:hAnsi="宋体"/>
          <w:color w:val="000000"/>
          <w:sz w:val="24"/>
        </w:rPr>
        <w:t>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szCs w:val="24"/>
        </w:rPr>
        <w:t>十</w:t>
      </w:r>
      <w:r>
        <w:rPr>
          <w:rFonts w:hint="eastAsia" w:ascii="宋体" w:hAnsi="宋体"/>
        </w:rPr>
        <w:t>、</w:t>
      </w:r>
      <w:r>
        <w:rPr>
          <w:rFonts w:hint="eastAsia" w:ascii="宋体" w:hAnsi="宋体"/>
          <w:sz w:val="24"/>
        </w:rPr>
        <w:t>投标文件份数：投标书一式</w:t>
      </w:r>
      <w:r>
        <w:rPr>
          <w:rFonts w:hint="eastAsia" w:ascii="宋体" w:hAnsi="宋体"/>
          <w:sz w:val="24"/>
          <w:lang w:val="en-US" w:eastAsia="zh-CN"/>
        </w:rPr>
        <w:t>二</w:t>
      </w:r>
      <w:r>
        <w:rPr>
          <w:rFonts w:hint="eastAsia" w:ascii="宋体" w:hAnsi="宋体"/>
          <w:sz w:val="24"/>
        </w:rPr>
        <w:t>份，其中正本</w:t>
      </w:r>
      <w:r>
        <w:rPr>
          <w:rFonts w:ascii="宋体" w:hAnsi="宋体"/>
          <w:sz w:val="24"/>
        </w:rPr>
        <w:t>1</w:t>
      </w:r>
      <w:r>
        <w:rPr>
          <w:rFonts w:hint="eastAsia" w:ascii="宋体" w:hAnsi="宋体"/>
          <w:sz w:val="24"/>
        </w:rPr>
        <w:t>份，副本</w:t>
      </w:r>
      <w:r>
        <w:rPr>
          <w:rFonts w:hint="eastAsia" w:ascii="宋体" w:hAnsi="宋体"/>
          <w:sz w:val="24"/>
          <w:lang w:val="en-US" w:eastAsia="zh-CN"/>
        </w:rPr>
        <w:t>1</w:t>
      </w:r>
      <w:r>
        <w:rPr>
          <w:rFonts w:hint="eastAsia" w:ascii="宋体" w:hAnsi="宋体"/>
          <w:sz w:val="24"/>
        </w:rPr>
        <w:t>份；投标书需装订成册，密封包装，并在封套的封口处加盖投标人单位章。</w:t>
      </w:r>
      <w:r>
        <w:rPr>
          <w:rFonts w:hint="eastAsia" w:ascii="宋体" w:hAnsi="宋体"/>
          <w:b w:val="0"/>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、开标、评标、中标：湘澧盐化招标委员会负责组织对投标文件进行审查和评标。按招标方《评标办法》</w:t>
      </w:r>
      <w:r>
        <w:rPr>
          <w:rFonts w:hint="eastAsia" w:ascii="宋体" w:hAnsi="宋体"/>
          <w:sz w:val="24"/>
          <w:lang w:val="en-US" w:eastAsia="zh-CN"/>
        </w:rPr>
        <w:t>相关内容</w:t>
      </w:r>
      <w:r>
        <w:rPr>
          <w:rFonts w:hint="eastAsia" w:ascii="宋体" w:hAnsi="宋体"/>
          <w:sz w:val="24"/>
        </w:rPr>
        <w:t>，</w:t>
      </w:r>
      <w:r>
        <w:rPr>
          <w:rFonts w:hint="eastAsia" w:ascii="宋体" w:hAnsi="宋体"/>
          <w:sz w:val="24"/>
          <w:lang w:val="en-US" w:eastAsia="zh-CN"/>
        </w:rPr>
        <w:t>确定</w:t>
      </w:r>
      <w:r>
        <w:rPr>
          <w:rFonts w:hint="eastAsia" w:ascii="宋体" w:hAnsi="宋体"/>
          <w:sz w:val="24"/>
        </w:rPr>
        <w:t>中标人。</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投标人自接到中标通知后十五天内，必须依照《中华人民共和国合同法》、招标文件、投标文件各项条款的要约与承诺，与招标人签订合同。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9"/>
        <w:spacing w:line="460" w:lineRule="exact"/>
        <w:ind w:left="0" w:leftChars="0" w:firstLine="240" w:firstLineChars="100"/>
        <w:rPr>
          <w:rFonts w:ascii="宋体"/>
          <w:b/>
          <w:color w:val="000000"/>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w:t>
      </w:r>
      <w:r>
        <w:rPr>
          <w:rFonts w:hint="eastAsia" w:ascii="宋体" w:hAnsi="宋体"/>
          <w:color w:val="000000"/>
          <w:sz w:val="24"/>
          <w:szCs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w:t>
      </w:r>
      <w:r>
        <w:rPr>
          <w:rFonts w:hint="eastAsia"/>
          <w:sz w:val="24"/>
          <w:lang w:val="en-US" w:eastAsia="zh-CN"/>
        </w:rPr>
        <w:t>最低价中标确定中标单位</w:t>
      </w:r>
      <w:r>
        <w:rPr>
          <w:sz w:val="24"/>
        </w:rPr>
        <w:t>。如果</w:t>
      </w:r>
      <w:r>
        <w:rPr>
          <w:rFonts w:hint="eastAsia"/>
          <w:sz w:val="24"/>
          <w:lang w:val="en-US" w:eastAsia="zh-CN"/>
        </w:rPr>
        <w:t>投标价格</w:t>
      </w:r>
      <w:r>
        <w:rPr>
          <w:sz w:val="24"/>
        </w:rPr>
        <w:t>相同，由招标人自行确定。</w:t>
      </w:r>
    </w:p>
    <w:p>
      <w:pPr>
        <w:spacing w:line="360" w:lineRule="auto"/>
        <w:rPr>
          <w:sz w:val="24"/>
        </w:rPr>
      </w:pPr>
      <w:r>
        <w:rPr>
          <w:rFonts w:hint="eastAsia"/>
          <w:sz w:val="24"/>
        </w:rPr>
        <w:t>2.投标文件的初步审查</w:t>
      </w:r>
    </w:p>
    <w:p>
      <w:pPr>
        <w:pStyle w:val="22"/>
        <w:tabs>
          <w:tab w:val="left" w:pos="142"/>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2.1</w:t>
      </w:r>
      <w:r>
        <w:rPr>
          <w:rFonts w:ascii="Times New Roman" w:hAnsi="Times New Roman" w:cs="Times New Roman"/>
          <w:kern w:val="2"/>
          <w:sz w:val="24"/>
          <w:szCs w:val="24"/>
          <w:lang w:val="en-US" w:bidi="ar-SA"/>
        </w:rPr>
        <w:t>初步审查分为资格性检查和符合性检查。</w:t>
      </w:r>
    </w:p>
    <w:p>
      <w:pPr>
        <w:pStyle w:val="22"/>
        <w:tabs>
          <w:tab w:val="left" w:pos="776"/>
        </w:tabs>
        <w:spacing w:before="1" w:line="360" w:lineRule="auto"/>
        <w:ind w:left="174" w:right="983"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（1）</w:t>
      </w:r>
      <w:r>
        <w:rPr>
          <w:rFonts w:ascii="Times New Roman" w:hAnsi="Times New Roman" w:cs="Times New Roman"/>
          <w:kern w:val="2"/>
          <w:sz w:val="24"/>
          <w:szCs w:val="24"/>
          <w:lang w:val="en-US" w:bidi="ar-SA"/>
        </w:rPr>
        <w:t>资格性检查。根据法律法规和招标文件的规定，评标委员会对投标文件中的资格证明等进行审查，以确定投标人是否具备投标资格。</w:t>
      </w:r>
    </w:p>
    <w:p>
      <w:pPr>
        <w:pStyle w:val="22"/>
        <w:tabs>
          <w:tab w:val="left" w:pos="721"/>
        </w:tabs>
        <w:spacing w:line="360" w:lineRule="auto"/>
        <w:ind w:left="120" w:right="919"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w:t>
      </w:r>
      <w:r>
        <w:rPr>
          <w:rFonts w:ascii="Times New Roman" w:hAnsi="Times New Roman" w:cs="Times New Roman"/>
          <w:kern w:val="2"/>
          <w:sz w:val="24"/>
          <w:szCs w:val="24"/>
          <w:lang w:val="en-US" w:bidi="ar-SA"/>
        </w:rPr>
        <w:t>符合性检查。依据招标文件的规定，从投标文件的有效性、完整性和对招标文件的响应程度进行审查，以确定是否对招标文件的实质性要求作出响应。评标委</w:t>
      </w:r>
      <w:r>
        <w:rPr>
          <w:sz w:val="24"/>
        </w:rPr>
        <w:t>员会决定投标文件的响应性只根据投标文件真实无误的内容，而不依据外部的证据，但投标文件有不真实、不正确的内容时除外。</w:t>
      </w:r>
    </w:p>
    <w:p>
      <w:pPr>
        <w:tabs>
          <w:tab w:val="left" w:pos="721"/>
        </w:tabs>
        <w:spacing w:before="1" w:line="360" w:lineRule="auto"/>
        <w:ind w:right="1039"/>
        <w:rPr>
          <w:sz w:val="24"/>
        </w:rPr>
      </w:pPr>
      <w:r>
        <w:rPr>
          <w:rFonts w:hint="eastAsia"/>
          <w:sz w:val="24"/>
        </w:rPr>
        <w:t>（3）</w:t>
      </w:r>
      <w:r>
        <w:rPr>
          <w:sz w:val="24"/>
        </w:rPr>
        <w:t>实质上没有响应招标文件要求的投标将被否决。投标人不得通过修正、补充或撤销不合要求的偏离或保留从而使其投标成为实质上响应的投标。</w:t>
      </w:r>
    </w:p>
    <w:p>
      <w:pPr>
        <w:pStyle w:val="22"/>
        <w:tabs>
          <w:tab w:val="left" w:pos="0"/>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2.2</w:t>
      </w:r>
      <w:r>
        <w:rPr>
          <w:rFonts w:ascii="Times New Roman" w:hAnsi="Times New Roman" w:cs="Times New Roman"/>
          <w:kern w:val="2"/>
          <w:sz w:val="24"/>
          <w:szCs w:val="24"/>
          <w:lang w:val="en-US" w:bidi="ar-SA"/>
        </w:rPr>
        <w:t>投标文件有下列情形之一的，评标委员会应当否决其投标：</w:t>
      </w:r>
    </w:p>
    <w:p>
      <w:pPr>
        <w:spacing w:line="360" w:lineRule="auto"/>
        <w:ind w:left="142"/>
        <w:rPr>
          <w:sz w:val="24"/>
        </w:rPr>
      </w:pPr>
      <w:r>
        <w:rPr>
          <w:rFonts w:hint="eastAsia"/>
          <w:sz w:val="24"/>
        </w:rPr>
        <w:t>（1）</w:t>
      </w:r>
      <w:r>
        <w:rPr>
          <w:sz w:val="24"/>
        </w:rPr>
        <w:t>投标人不符合国家或者招标文件规定的资格条件的；</w:t>
      </w:r>
    </w:p>
    <w:p>
      <w:pPr>
        <w:tabs>
          <w:tab w:val="left" w:pos="721"/>
        </w:tabs>
        <w:spacing w:before="1" w:line="360" w:lineRule="auto"/>
        <w:ind w:left="142" w:right="1039"/>
        <w:rPr>
          <w:sz w:val="24"/>
        </w:rPr>
      </w:pPr>
      <w:r>
        <w:rPr>
          <w:rFonts w:hint="eastAsia"/>
          <w:sz w:val="24"/>
        </w:rPr>
        <w:t>（2）</w:t>
      </w:r>
      <w:r>
        <w:rPr>
          <w:sz w:val="24"/>
        </w:rPr>
        <w:t>同一投标人提交两个以上不同的投标报价</w:t>
      </w:r>
      <w:r>
        <w:rPr>
          <w:rFonts w:hint="eastAsia"/>
          <w:sz w:val="24"/>
        </w:rPr>
        <w:t>。</w:t>
      </w:r>
    </w:p>
    <w:p>
      <w:pPr>
        <w:tabs>
          <w:tab w:val="left" w:pos="284"/>
        </w:tabs>
        <w:spacing w:before="1" w:line="360" w:lineRule="auto"/>
        <w:ind w:left="107" w:leftChars="51"/>
        <w:rPr>
          <w:sz w:val="24"/>
        </w:rPr>
      </w:pPr>
      <w:r>
        <w:rPr>
          <w:rFonts w:hint="eastAsia"/>
          <w:sz w:val="24"/>
        </w:rPr>
        <w:t>（</w:t>
      </w:r>
      <w:r>
        <w:rPr>
          <w:rFonts w:hint="eastAsia"/>
          <w:sz w:val="24"/>
          <w:lang w:val="en-US" w:eastAsia="zh-CN"/>
        </w:rPr>
        <w:t>3</w:t>
      </w:r>
      <w:r>
        <w:rPr>
          <w:rFonts w:hint="eastAsia"/>
          <w:sz w:val="24"/>
        </w:rPr>
        <w:t>）</w:t>
      </w:r>
      <w:r>
        <w:rPr>
          <w:sz w:val="24"/>
        </w:rPr>
        <w:t>投标文件不满足招标文件中</w:t>
      </w:r>
      <w:r>
        <w:rPr>
          <w:rFonts w:hint="eastAsia"/>
          <w:sz w:val="24"/>
          <w:lang w:val="en-US" w:eastAsia="zh-CN"/>
        </w:rPr>
        <w:t>技术文件</w:t>
      </w:r>
      <w:r>
        <w:rPr>
          <w:sz w:val="24"/>
        </w:rPr>
        <w:t>要求的；</w:t>
      </w:r>
    </w:p>
    <w:p>
      <w:pPr>
        <w:tabs>
          <w:tab w:val="left" w:pos="1059"/>
        </w:tabs>
        <w:spacing w:line="360" w:lineRule="auto"/>
        <w:ind w:left="142"/>
        <w:rPr>
          <w:sz w:val="24"/>
        </w:rPr>
      </w:pPr>
      <w:r>
        <w:rPr>
          <w:rFonts w:hint="eastAsia"/>
          <w:sz w:val="24"/>
        </w:rPr>
        <w:t>（</w:t>
      </w:r>
      <w:r>
        <w:rPr>
          <w:rFonts w:hint="eastAsia"/>
          <w:sz w:val="24"/>
          <w:lang w:val="en-US" w:eastAsia="zh-CN"/>
        </w:rPr>
        <w:t>4</w:t>
      </w:r>
      <w:r>
        <w:rPr>
          <w:rFonts w:hint="eastAsia"/>
          <w:sz w:val="24"/>
        </w:rPr>
        <w:t>）</w:t>
      </w:r>
      <w:r>
        <w:rPr>
          <w:sz w:val="24"/>
        </w:rPr>
        <w:t>投标报价高于招标文件设定的最高投标限价的；</w:t>
      </w:r>
    </w:p>
    <w:p>
      <w:pPr>
        <w:tabs>
          <w:tab w:val="left" w:pos="1059"/>
        </w:tabs>
        <w:spacing w:before="1" w:line="360" w:lineRule="auto"/>
        <w:ind w:left="142"/>
        <w:rPr>
          <w:sz w:val="24"/>
        </w:rPr>
      </w:pPr>
      <w:r>
        <w:rPr>
          <w:rFonts w:hint="eastAsia"/>
          <w:sz w:val="24"/>
        </w:rPr>
        <w:t>（</w:t>
      </w:r>
      <w:r>
        <w:rPr>
          <w:rFonts w:hint="eastAsia"/>
          <w:sz w:val="24"/>
          <w:lang w:val="en-US" w:eastAsia="zh-CN"/>
        </w:rPr>
        <w:t>5</w:t>
      </w:r>
      <w:r>
        <w:rPr>
          <w:rFonts w:hint="eastAsia"/>
          <w:sz w:val="24"/>
        </w:rPr>
        <w:t>）</w:t>
      </w:r>
      <w:r>
        <w:rPr>
          <w:sz w:val="24"/>
        </w:rPr>
        <w:t>投标有效期不足的；</w:t>
      </w:r>
    </w:p>
    <w:p>
      <w:pPr>
        <w:pStyle w:val="22"/>
        <w:numPr>
          <w:ilvl w:val="0"/>
          <w:numId w:val="0"/>
        </w:numPr>
        <w:tabs>
          <w:tab w:val="left" w:pos="599"/>
          <w:tab w:val="left" w:pos="1179"/>
        </w:tabs>
        <w:spacing w:line="360" w:lineRule="auto"/>
        <w:ind w:left="142" w:leftChars="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eastAsia="zh-CN" w:bidi="ar-SA"/>
        </w:rPr>
        <w:t>（6）</w:t>
      </w:r>
      <w:r>
        <w:rPr>
          <w:rFonts w:ascii="Times New Roman" w:hAnsi="Times New Roman" w:cs="Times New Roman"/>
          <w:kern w:val="2"/>
          <w:sz w:val="24"/>
          <w:szCs w:val="24"/>
          <w:lang w:val="en-US" w:bidi="ar-SA"/>
        </w:rPr>
        <w:t>不符合法律、法规和招标文件规定的。</w:t>
      </w:r>
    </w:p>
    <w:p>
      <w:pPr>
        <w:pStyle w:val="22"/>
        <w:spacing w:line="360" w:lineRule="auto"/>
        <w:ind w:left="142"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2.3</w:t>
      </w:r>
      <w:r>
        <w:rPr>
          <w:rFonts w:ascii="Times New Roman" w:hAnsi="Times New Roman" w:cs="Times New Roman"/>
          <w:kern w:val="2"/>
          <w:sz w:val="24"/>
          <w:szCs w:val="24"/>
          <w:lang w:val="en-US" w:bidi="ar-SA"/>
        </w:rPr>
        <w:t>串通投标的认定</w:t>
      </w:r>
    </w:p>
    <w:p>
      <w:pPr>
        <w:spacing w:line="360" w:lineRule="auto"/>
        <w:ind w:left="337"/>
        <w:rPr>
          <w:sz w:val="24"/>
        </w:rPr>
      </w:pPr>
      <w:r>
        <w:rPr>
          <w:sz w:val="24"/>
        </w:rPr>
        <w:t>有下列情形之一的，经评标委员会集体表决后认定，视为投标人相互串通投标：</w:t>
      </w:r>
    </w:p>
    <w:p>
      <w:pPr>
        <w:pStyle w:val="22"/>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不同投标人的投标文件异常一致或者投标报价呈规律性差异；</w:t>
      </w:r>
    </w:p>
    <w:p>
      <w:pPr>
        <w:pStyle w:val="22"/>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不同投标人的投标文件由同一单位或者同一个人编制；</w:t>
      </w:r>
    </w:p>
    <w:p>
      <w:pPr>
        <w:pStyle w:val="22"/>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不同投标人委托同一单位或者个人办理投标事宜；</w:t>
      </w:r>
    </w:p>
    <w:p>
      <w:pPr>
        <w:pStyle w:val="22"/>
        <w:numPr>
          <w:ilvl w:val="0"/>
          <w:numId w:val="1"/>
        </w:numPr>
        <w:tabs>
          <w:tab w:val="left" w:pos="939"/>
        </w:tabs>
        <w:spacing w:before="1"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不同投标人的投标文件载明的项目管理成员为同一人；</w:t>
      </w:r>
    </w:p>
    <w:p>
      <w:pPr>
        <w:pStyle w:val="22"/>
        <w:numPr>
          <w:ilvl w:val="0"/>
          <w:numId w:val="1"/>
        </w:numPr>
        <w:tabs>
          <w:tab w:val="left" w:pos="939"/>
        </w:tabs>
        <w:spacing w:before="43"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不同投标人的投标文件相互混装；</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spacing w:before="28"/>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7"/>
        <w:ind w:left="5250"/>
        <w:rPr>
          <w:sz w:val="20"/>
        </w:rPr>
      </w:pPr>
    </w:p>
    <w:p>
      <w:pPr>
        <w:pStyle w:val="7"/>
        <w:spacing w:before="5"/>
        <w:ind w:left="5250"/>
        <w:rPr>
          <w:sz w:val="22"/>
        </w:rPr>
      </w:pPr>
    </w:p>
    <w:p>
      <w:pPr>
        <w:spacing w:before="70" w:line="480" w:lineRule="exact"/>
        <w:ind w:right="536"/>
        <w:rPr>
          <w:sz w:val="24"/>
        </w:rPr>
      </w:pPr>
      <w:r>
        <w:rPr>
          <w:sz w:val="24"/>
        </w:rPr>
        <w:t>买方：</w:t>
      </w:r>
      <w:r>
        <w:rPr>
          <w:rFonts w:hint="eastAsia"/>
          <w:sz w:val="24"/>
        </w:rPr>
        <w:t xml:space="preserve">              </w:t>
      </w:r>
      <w:r>
        <w:rPr>
          <w:sz w:val="24"/>
        </w:rPr>
        <w:t>地址</w:t>
      </w:r>
      <w:r>
        <w:rPr>
          <w:rFonts w:hint="eastAsia"/>
          <w:sz w:val="24"/>
        </w:rPr>
        <w:t xml:space="preserve">：           </w:t>
      </w:r>
      <w:r>
        <w:rPr>
          <w:sz w:val="24"/>
        </w:rPr>
        <w:t>电话：</w:t>
      </w:r>
    </w:p>
    <w:p>
      <w:pPr>
        <w:spacing w:before="70" w:line="480" w:lineRule="exact"/>
        <w:ind w:right="536"/>
        <w:rPr>
          <w:sz w:val="24"/>
        </w:rPr>
      </w:pPr>
      <w:r>
        <w:rPr>
          <w:sz w:val="24"/>
        </w:rPr>
        <w:t>卖方：</w:t>
      </w:r>
      <w:r>
        <w:rPr>
          <w:rFonts w:hint="eastAsia"/>
          <w:sz w:val="24"/>
        </w:rPr>
        <w:t xml:space="preserve">              </w:t>
      </w:r>
      <w:r>
        <w:rPr>
          <w:sz w:val="24"/>
        </w:rPr>
        <w:t>地址：</w:t>
      </w:r>
      <w:r>
        <w:rPr>
          <w:rFonts w:hint="eastAsia"/>
          <w:sz w:val="24"/>
        </w:rPr>
        <w:t xml:space="preserve">          </w:t>
      </w:r>
      <w:r>
        <w:rPr>
          <w:sz w:val="24"/>
        </w:rPr>
        <w:t xml:space="preserve"> 电话：</w:t>
      </w:r>
    </w:p>
    <w:p>
      <w:pPr>
        <w:spacing w:line="480" w:lineRule="exact"/>
        <w:ind w:right="536"/>
        <w:rPr>
          <w:sz w:val="24"/>
        </w:rPr>
      </w:pPr>
      <w:r>
        <w:rPr>
          <w:sz w:val="24"/>
        </w:rPr>
        <w:t>经买卖双方经过友好协商， 就有关事项达成如下协议，以资共同遵守。</w:t>
      </w:r>
    </w:p>
    <w:p>
      <w:pPr>
        <w:spacing w:line="480" w:lineRule="exact"/>
        <w:ind w:right="536"/>
        <w:rPr>
          <w:b/>
          <w:sz w:val="24"/>
        </w:rPr>
      </w:pPr>
      <w:bookmarkStart w:id="0" w:name="_bookmark0"/>
      <w:bookmarkEnd w:id="0"/>
      <w:r>
        <w:rPr>
          <w:sz w:val="24"/>
        </w:rPr>
        <mc:AlternateContent>
          <mc:Choice Requires="wps">
            <w:drawing>
              <wp:anchor distT="0" distB="0" distL="114300" distR="114300" simplePos="0" relativeHeight="251660288" behindDoc="0" locked="0" layoutInCell="1" allowOverlap="1">
                <wp:simplePos x="0" y="0"/>
                <wp:positionH relativeFrom="page">
                  <wp:posOffset>994410</wp:posOffset>
                </wp:positionH>
                <wp:positionV relativeFrom="paragraph">
                  <wp:posOffset>230505</wp:posOffset>
                </wp:positionV>
                <wp:extent cx="6087110" cy="1458595"/>
                <wp:effectExtent l="381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087110" cy="1458595"/>
                        </a:xfrm>
                        <a:prstGeom prst="rect">
                          <a:avLst/>
                        </a:prstGeom>
                        <a:noFill/>
                        <a:ln>
                          <a:noFill/>
                        </a:ln>
                      </wps:spPr>
                      <wps:txbx>
                        <w:txbxContent>
                          <w:p>
                            <w:pPr>
                              <w:pStyle w:val="7"/>
                              <w:ind w:left="52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18.15pt;height:114.85pt;width:479.3pt;mso-position-horizontal-relative:page;z-index:251660288;mso-width-relative:page;mso-height-relative:page;" filled="f" stroked="f" coordsize="21600,21600" o:gfxdata="UEsDBAoAAAAAAIdO4kAAAAAAAAAAAAAAAAAEAAAAZHJzL1BLAwQUAAAACACHTuJAS1zwtdgAAAAL&#10;AQAADwAAAGRycy9kb3ducmV2LnhtbE2Py07DMBBF90j8gzVI7KidVLVoGqdCCFZIiDQsWDrxNLEa&#10;j0PsPvh73BUsr+bo3jPl9uJGdsI5WE8KsoUAhtR5Y6lX8Nm8PjwCC1GT0aMnVPCDAbbV7U2pC+PP&#10;VONpF3uWSigUWsEQ41RwHroBnQ4LPyGl297PTscU556bWZ9TuRt5LoTkTltKC4Oe8HnA7rA7OgVP&#10;X1S/2O/39qPe17Zp1oLe5EGp+7tMbIBFvMQ/GK76SR2q5NT6I5nAxpRXUiZUwVIugV2BLFvlwFoF&#10;uZQCeFXy/z9Uv1BLAwQUAAAACACHTuJAObsQYQ8CAAAGBAAADgAAAGRycy9lMm9Eb2MueG1srVPN&#10;bhMxEL4j8Q6W72SzFWnSVTZVaVSEVH6kwgM4Xm/WYu0xYye74QHgDThx4c5z5Tk69iahlEsPXKyx&#10;Pf7m+74Zzy9707KtQq/BljwfjTlTVkKl7brknz7evJhx5oOwlWjBqpLvlOeXi+fP5p0r1Bk00FYK&#10;GYFYX3Su5E0IrsgyLxtlhB+BU5Yua0AjAm1xnVUoOkI3bXY2Hp9nHWDlEKTynk6XwyU/IOJTAKGu&#10;tVRLkBujbBhQUbUikCTfaOf5IrGtayXD+7r2KrC25KQ0pJWKULyKa7aYi2KNwjVaHiiIp1B4pMkI&#10;banoCWopgmAb1P9AGS0RPNRhJMFkg5DkCKnIx4+8uWuEU0kLWe3dyXT//2Dlu+0HZLoq+ZQzKww1&#10;fP/j+/7n7/2vb2wa7emcLyjrzlFe6F9BT0OTpHp3C/KzZxauG2HX6goRukaJiujl8WX24OmA4yPI&#10;qnsLFdURmwAJqK/RRO/IDUbo1JrdqTWqD0zS4fl4Ns1zupJ0l7+czCYXk1RDFMfnDn14rcCwGJQc&#10;qfcJXmxvfYh0RHFMidUs3Oi2Tf1v7V8HlBhPEv3IeOAe+lV/sGMF1Y6EIAzjRJ+JggbwK2cdjVLJ&#10;/ZeNQMVZ+8aSGXHujgEeg9UxEFbS05IHzobwOgzzuXGo1w0hD3ZbuCLDap2kRGcHFgeeNB5J4WGU&#10;4/w93KesP993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XPC12AAAAAsBAAAPAAAAAAAAAAEA&#10;IAAAACIAAABkcnMvZG93bnJldi54bWxQSwECFAAUAAAACACHTuJAObsQYQ8CAAAGBAAADgAAAAAA&#10;AAABACAAAAAnAQAAZHJzL2Uyb0RvYy54bWxQSwUGAAAAAAYABgBZAQAAqAUAAAAA&#10;">
                <v:fill on="f" focussize="0,0"/>
                <v:stroke on="f"/>
                <v:imagedata o:title=""/>
                <o:lock v:ext="edit" aspectratio="f"/>
                <v:textbox inset="0mm,0mm,0mm,0mm">
                  <w:txbxContent>
                    <w:p>
                      <w:pPr>
                        <w:pStyle w:val="7"/>
                        <w:ind w:left="5250"/>
                      </w:pPr>
                    </w:p>
                  </w:txbxContent>
                </v:textbox>
              </v:shape>
            </w:pict>
          </mc:Fallback>
        </mc:AlternateContent>
      </w:r>
      <w:r>
        <w:rPr>
          <w:b/>
          <w:sz w:val="24"/>
        </w:rPr>
        <w:t>一所需货物名称、规格及价格：</w:t>
      </w:r>
    </w:p>
    <w:tbl>
      <w:tblPr>
        <w:tblStyle w:val="14"/>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4"/>
              <w:spacing w:before="146"/>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4"/>
              <w:spacing w:before="146"/>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4"/>
              <w:spacing w:before="146"/>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4"/>
              <w:spacing w:before="146"/>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4"/>
              <w:tabs>
                <w:tab w:val="left" w:pos="824"/>
              </w:tabs>
              <w:spacing w:before="146"/>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4"/>
              <w:tabs>
                <w:tab w:val="left" w:pos="918"/>
              </w:tabs>
              <w:spacing w:before="146"/>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4"/>
              <w:spacing w:before="3"/>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513" w:type="dxa"/>
            <w:tcBorders>
              <w:top w:val="single" w:color="000000" w:sz="6" w:space="0"/>
              <w:left w:val="single" w:color="000000" w:sz="6" w:space="0"/>
              <w:bottom w:val="single" w:color="000000" w:sz="6" w:space="0"/>
            </w:tcBorders>
          </w:tcPr>
          <w:p>
            <w:pPr>
              <w:pStyle w:val="24"/>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4"/>
              <w:spacing w:before="3"/>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513" w:type="dxa"/>
            <w:tcBorders>
              <w:top w:val="single" w:color="000000" w:sz="6" w:space="0"/>
              <w:left w:val="single" w:color="000000" w:sz="6" w:space="0"/>
              <w:bottom w:val="single" w:color="000000" w:sz="6" w:space="0"/>
            </w:tcBorders>
          </w:tcPr>
          <w:p>
            <w:pPr>
              <w:pStyle w:val="24"/>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4"/>
              <w:spacing w:before="9"/>
              <w:rPr>
                <w:rFonts w:ascii="新宋体"/>
                <w:sz w:val="19"/>
              </w:rPr>
            </w:pPr>
          </w:p>
          <w:p>
            <w:pPr>
              <w:pStyle w:val="24"/>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4"/>
              <w:spacing w:before="35"/>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rPr>
                <w:sz w:val="2"/>
                <w:szCs w:val="2"/>
              </w:rPr>
            </w:pPr>
          </w:p>
        </w:tc>
        <w:tc>
          <w:tcPr>
            <w:tcW w:w="6620" w:type="dxa"/>
            <w:gridSpan w:val="4"/>
            <w:tcBorders>
              <w:top w:val="single" w:color="000000" w:sz="6" w:space="0"/>
              <w:left w:val="single" w:color="000000" w:sz="6" w:space="0"/>
            </w:tcBorders>
          </w:tcPr>
          <w:p>
            <w:pPr>
              <w:pStyle w:val="24"/>
              <w:spacing w:before="27"/>
              <w:ind w:left="105"/>
              <w:rPr>
                <w:rFonts w:ascii="新宋体" w:eastAsia="新宋体"/>
              </w:rPr>
            </w:pPr>
            <w:r>
              <w:rPr>
                <w:rFonts w:hint="eastAsia" w:ascii="新宋体" w:eastAsia="新宋体"/>
              </w:rPr>
              <w:t>大写：</w:t>
            </w:r>
          </w:p>
        </w:tc>
      </w:tr>
    </w:tbl>
    <w:p>
      <w:pPr>
        <w:tabs>
          <w:tab w:val="left" w:pos="659"/>
        </w:tabs>
        <w:spacing w:line="480" w:lineRule="exact"/>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480" w:lineRule="exact"/>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480" w:lineRule="exact"/>
        <w:ind w:right="536"/>
        <w:rPr>
          <w:rFonts w:ascii="新宋体" w:eastAsia="新宋体"/>
          <w:sz w:val="24"/>
        </w:rPr>
      </w:pPr>
      <w:r>
        <w:rPr>
          <w:rFonts w:hint="eastAsia" w:ascii="新宋体" w:eastAsia="新宋体"/>
          <w:sz w:val="24"/>
        </w:rPr>
        <w:t>卖方应向用户提供以下技术文件：</w:t>
      </w:r>
    </w:p>
    <w:p>
      <w:pPr>
        <w:spacing w:before="118" w:line="480" w:lineRule="exact"/>
        <w:ind w:right="536"/>
        <w:rPr>
          <w:rFonts w:ascii="新宋体" w:eastAsia="新宋体"/>
          <w:sz w:val="24"/>
        </w:rPr>
      </w:pPr>
      <w:r>
        <w:rPr>
          <w:rFonts w:hint="eastAsia" w:ascii="新宋体" w:eastAsia="新宋体"/>
          <w:sz w:val="24"/>
        </w:rPr>
        <w:t>1、 设备使用手册、安装使用指南、维护维修（含线路图）说明书或服务手册。所有资料必须提供中、英文对照文本；</w:t>
      </w:r>
    </w:p>
    <w:p>
      <w:pPr>
        <w:spacing w:line="480" w:lineRule="exact"/>
        <w:ind w:right="536"/>
        <w:rPr>
          <w:rFonts w:ascii="新宋体" w:eastAsia="新宋体"/>
          <w:sz w:val="24"/>
        </w:rPr>
      </w:pPr>
      <w:r>
        <w:rPr>
          <w:rFonts w:hint="eastAsia" w:ascii="新宋体" w:eastAsia="新宋体"/>
          <w:sz w:val="24"/>
        </w:rPr>
        <w:t>2、 设备技术参数表、设备制造、安装、调试、验收规范；</w:t>
      </w:r>
    </w:p>
    <w:p>
      <w:pPr>
        <w:spacing w:before="118" w:line="480" w:lineRule="exact"/>
        <w:ind w:right="536"/>
        <w:rPr>
          <w:rFonts w:ascii="新宋体" w:eastAsia="新宋体"/>
          <w:sz w:val="24"/>
        </w:rPr>
      </w:pPr>
      <w:r>
        <w:rPr>
          <w:rFonts w:hint="eastAsia" w:ascii="新宋体" w:eastAsia="新宋体"/>
          <w:sz w:val="24"/>
        </w:rPr>
        <w:t>3、 中文操作手册、安装、调试及使用说明书；</w:t>
      </w:r>
    </w:p>
    <w:p>
      <w:pPr>
        <w:spacing w:before="118" w:line="480" w:lineRule="exact"/>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480" w:lineRule="exact"/>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480" w:lineRule="exact"/>
        <w:ind w:right="536"/>
        <w:rPr>
          <w:rFonts w:ascii="新宋体" w:eastAsia="新宋体"/>
          <w:sz w:val="24"/>
        </w:rPr>
      </w:pPr>
      <w:r>
        <w:rPr>
          <w:rFonts w:hint="eastAsia" w:ascii="新宋体" w:eastAsia="新宋体"/>
          <w:sz w:val="24"/>
        </w:rPr>
        <w:t>6、 须提供海关报关单（如为进口设备）；</w:t>
      </w:r>
    </w:p>
    <w:p>
      <w:pPr>
        <w:tabs>
          <w:tab w:val="left" w:pos="657"/>
        </w:tabs>
        <w:spacing w:line="480" w:lineRule="exact"/>
        <w:ind w:right="536"/>
        <w:rPr>
          <w:rFonts w:ascii="新宋体" w:eastAsia="新宋体"/>
          <w:b/>
          <w:sz w:val="24"/>
        </w:rPr>
      </w:pPr>
      <w:r>
        <w:rPr>
          <w:rFonts w:hint="eastAsia" w:ascii="新宋体" w:eastAsia="新宋体"/>
          <w:b/>
          <w:sz w:val="24"/>
        </w:rPr>
        <w:t>三</w:t>
      </w:r>
      <w:r>
        <w:rPr>
          <w:rFonts w:hint="eastAsia" w:ascii="新宋体" w:eastAsia="新宋体"/>
          <w:b/>
          <w:sz w:val="24"/>
        </w:rPr>
        <w:tab/>
      </w:r>
      <w:r>
        <w:rPr>
          <w:rFonts w:hint="eastAsia" w:ascii="新宋体" w:eastAsia="新宋体"/>
          <w:b/>
          <w:sz w:val="24"/>
        </w:rPr>
        <w:t>质量保证：</w:t>
      </w:r>
    </w:p>
    <w:p>
      <w:pPr>
        <w:spacing w:before="118" w:line="480" w:lineRule="exact"/>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480" w:lineRule="exact"/>
        <w:ind w:right="536"/>
        <w:rPr>
          <w:rFonts w:ascii="新宋体" w:eastAsia="新宋体"/>
          <w:sz w:val="24"/>
        </w:rPr>
      </w:pPr>
      <w:r>
        <w:rPr>
          <w:rFonts w:hint="eastAsia" w:ascii="新宋体" w:eastAsia="新宋体"/>
          <w:sz w:val="24"/>
        </w:rPr>
        <w:t>2、 卖方严格按照招标文件要求提供符合国家技术标准的产品。</w:t>
      </w:r>
    </w:p>
    <w:p>
      <w:pPr>
        <w:spacing w:before="119" w:line="480" w:lineRule="exact"/>
        <w:ind w:right="536"/>
        <w:rPr>
          <w:rFonts w:ascii="新宋体" w:eastAsia="新宋体"/>
          <w:sz w:val="24"/>
        </w:rPr>
      </w:pPr>
      <w:r>
        <w:rPr>
          <w:rFonts w:hint="eastAsia" w:ascii="新宋体" w:eastAsia="新宋体"/>
          <w:sz w:val="24"/>
        </w:rPr>
        <w:t>3、 卖方必须保证提供的货物是全新的，并且符合国家有关检测标准以及该产品的出厂标准。</w:t>
      </w:r>
    </w:p>
    <w:p>
      <w:pPr>
        <w:spacing w:line="480" w:lineRule="exact"/>
        <w:ind w:right="536"/>
        <w:rPr>
          <w:rFonts w:ascii="新宋体" w:eastAsia="新宋体"/>
          <w:sz w:val="24"/>
        </w:rPr>
        <w:sectPr>
          <w:footerReference r:id="rId3" w:type="default"/>
          <w:pgSz w:w="11910" w:h="16840"/>
          <w:pgMar w:top="1560" w:right="995" w:bottom="780" w:left="1460" w:header="0" w:footer="500" w:gutter="0"/>
          <w:cols w:space="720" w:num="1"/>
        </w:sectPr>
      </w:pPr>
    </w:p>
    <w:p>
      <w:pPr>
        <w:tabs>
          <w:tab w:val="left" w:pos="659"/>
        </w:tabs>
        <w:spacing w:before="58" w:line="480" w:lineRule="exact"/>
        <w:ind w:right="536"/>
        <w:rPr>
          <w:rFonts w:ascii="新宋体" w:eastAsia="新宋体"/>
          <w:b/>
          <w:sz w:val="24"/>
        </w:rPr>
      </w:pPr>
      <w:r>
        <w:rPr>
          <w:rFonts w:hint="eastAsia" w:ascii="新宋体" w:eastAsia="新宋体"/>
          <w:b/>
          <w:sz w:val="24"/>
        </w:rPr>
        <w:t>四</w:t>
      </w:r>
      <w:r>
        <w:rPr>
          <w:rFonts w:hint="eastAsia" w:ascii="新宋体" w:eastAsia="新宋体"/>
          <w:b/>
          <w:sz w:val="24"/>
        </w:rPr>
        <w:tab/>
      </w:r>
      <w:r>
        <w:rPr>
          <w:rFonts w:hint="eastAsia" w:ascii="新宋体" w:eastAsia="新宋体"/>
          <w:b/>
          <w:sz w:val="24"/>
        </w:rPr>
        <w:t>设备安装与验收：</w:t>
      </w:r>
    </w:p>
    <w:p>
      <w:pPr>
        <w:spacing w:before="118" w:line="480" w:lineRule="exact"/>
        <w:ind w:right="536"/>
        <w:rPr>
          <w:rFonts w:ascii="新宋体" w:eastAsia="新宋体"/>
          <w:sz w:val="24"/>
        </w:rPr>
      </w:pPr>
      <w:r>
        <w:rPr>
          <w:rFonts w:hint="eastAsia" w:ascii="新宋体" w:eastAsia="新宋体"/>
          <w:sz w:val="24"/>
        </w:rPr>
        <w:t>1、 卖方应负责货物的</w:t>
      </w:r>
      <w:r>
        <w:rPr>
          <w:rFonts w:hint="eastAsia" w:ascii="新宋体" w:eastAsia="新宋体"/>
          <w:sz w:val="24"/>
          <w:lang w:val="en-US" w:eastAsia="zh-CN"/>
        </w:rPr>
        <w:t>采购、制作、</w:t>
      </w:r>
      <w:r>
        <w:rPr>
          <w:rFonts w:hint="eastAsia" w:ascii="新宋体" w:eastAsia="新宋体"/>
          <w:b w:val="0"/>
          <w:bCs/>
          <w:sz w:val="24"/>
        </w:rPr>
        <w:t>安装、调试，</w:t>
      </w:r>
      <w:r>
        <w:rPr>
          <w:rFonts w:hint="eastAsia" w:ascii="新宋体" w:eastAsia="新宋体"/>
          <w:sz w:val="24"/>
        </w:rPr>
        <w:t>按合同规定的时间交货后日内需安装、调试、验收完毕。</w:t>
      </w:r>
    </w:p>
    <w:p>
      <w:pPr>
        <w:spacing w:before="118" w:line="480" w:lineRule="exact"/>
        <w:ind w:right="536"/>
        <w:rPr>
          <w:rFonts w:ascii="新宋体" w:eastAsia="新宋体"/>
          <w:sz w:val="24"/>
        </w:rPr>
      </w:pPr>
      <w:r>
        <w:rPr>
          <w:rFonts w:hint="eastAsia" w:ascii="新宋体" w:eastAsia="新宋体"/>
          <w:sz w:val="24"/>
        </w:rPr>
        <w:t>2、 验收地点：用户单位。</w:t>
      </w:r>
    </w:p>
    <w:p>
      <w:pPr>
        <w:spacing w:before="118" w:line="480" w:lineRule="exact"/>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480" w:lineRule="exact"/>
        <w:ind w:right="536"/>
        <w:rPr>
          <w:rFonts w:ascii="新宋体" w:eastAsia="新宋体"/>
          <w:b/>
          <w:sz w:val="24"/>
        </w:rPr>
      </w:pPr>
      <w:r>
        <w:rPr>
          <w:rFonts w:hint="eastAsia" w:ascii="新宋体" w:eastAsia="新宋体"/>
          <w:b/>
          <w:sz w:val="24"/>
        </w:rPr>
        <w:t>五 培 训 ：</w:t>
      </w:r>
    </w:p>
    <w:p>
      <w:pPr>
        <w:spacing w:before="118" w:line="480" w:lineRule="exact"/>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480" w:lineRule="exact"/>
        <w:ind w:right="536"/>
        <w:rPr>
          <w:rFonts w:ascii="新宋体" w:eastAsia="新宋体"/>
          <w:b/>
          <w:sz w:val="24"/>
        </w:rPr>
      </w:pPr>
      <w:r>
        <w:rPr>
          <w:rFonts w:hint="eastAsia" w:ascii="新宋体" w:eastAsia="新宋体"/>
          <w:b/>
          <w:sz w:val="24"/>
        </w:rPr>
        <w:t>六</w:t>
      </w:r>
      <w:r>
        <w:rPr>
          <w:rFonts w:hint="eastAsia" w:ascii="新宋体" w:eastAsia="新宋体"/>
          <w:b/>
          <w:sz w:val="24"/>
        </w:rPr>
        <w:tab/>
      </w:r>
      <w:r>
        <w:rPr>
          <w:rFonts w:hint="eastAsia" w:ascii="新宋体" w:eastAsia="新宋体"/>
          <w:b/>
          <w:sz w:val="24"/>
        </w:rPr>
        <w:t>特殊工具：</w:t>
      </w:r>
    </w:p>
    <w:p>
      <w:pPr>
        <w:spacing w:before="118" w:line="480" w:lineRule="exact"/>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480" w:lineRule="exact"/>
        <w:ind w:right="536"/>
        <w:rPr>
          <w:rFonts w:ascii="新宋体" w:eastAsia="新宋体"/>
          <w:b/>
          <w:sz w:val="24"/>
        </w:rPr>
      </w:pPr>
      <w:r>
        <w:rPr>
          <w:rFonts w:hint="eastAsia" w:ascii="新宋体" w:eastAsia="新宋体"/>
          <w:b/>
          <w:sz w:val="24"/>
        </w:rPr>
        <w:t>七</w:t>
      </w:r>
      <w:r>
        <w:rPr>
          <w:rFonts w:hint="eastAsia" w:ascii="新宋体" w:eastAsia="新宋体"/>
          <w:b/>
          <w:sz w:val="24"/>
        </w:rPr>
        <w:tab/>
      </w:r>
      <w:r>
        <w:rPr>
          <w:rFonts w:hint="eastAsia" w:ascii="新宋体" w:eastAsia="新宋体"/>
          <w:b/>
          <w:w w:val="95"/>
          <w:sz w:val="24"/>
        </w:rPr>
        <w:t>质保期：</w:t>
      </w:r>
    </w:p>
    <w:p>
      <w:pPr>
        <w:spacing w:before="118" w:line="480" w:lineRule="exact"/>
        <w:ind w:right="536" w:firstLine="480" w:firstLineChars="200"/>
        <w:rPr>
          <w:rFonts w:ascii="新宋体" w:eastAsia="新宋体"/>
          <w:sz w:val="24"/>
        </w:rPr>
      </w:pPr>
      <w:r>
        <w:rPr>
          <w:rFonts w:hint="eastAsia" w:ascii="新宋体" w:eastAsia="新宋体"/>
          <w:b w:val="0"/>
          <w:bCs/>
          <w:sz w:val="24"/>
        </w:rPr>
        <w:t>质保期为验收合格后</w:t>
      </w:r>
      <w:r>
        <w:rPr>
          <w:rFonts w:hint="eastAsia" w:ascii="新宋体" w:eastAsia="新宋体"/>
          <w:b w:val="0"/>
          <w:bCs/>
          <w:sz w:val="24"/>
          <w:u w:val="thick"/>
        </w:rPr>
        <w:t>12</w:t>
      </w:r>
      <w:r>
        <w:rPr>
          <w:rFonts w:hint="eastAsia" w:ascii="新宋体" w:eastAsia="新宋体"/>
          <w:b w:val="0"/>
          <w:bCs/>
          <w:sz w:val="24"/>
        </w:rPr>
        <w:t>个月</w:t>
      </w:r>
      <w:r>
        <w:rPr>
          <w:rFonts w:hint="eastAsia" w:ascii="新宋体" w:eastAsia="新宋体"/>
          <w:sz w:val="24"/>
        </w:rPr>
        <w:t>（各品目有具体要求的按照设备要求）。在质保期内，如有质量问题，卖方应免费更换。</w:t>
      </w:r>
    </w:p>
    <w:p>
      <w:pPr>
        <w:tabs>
          <w:tab w:val="left" w:pos="659"/>
        </w:tabs>
        <w:spacing w:before="1" w:line="480" w:lineRule="exact"/>
        <w:ind w:right="536"/>
        <w:rPr>
          <w:rFonts w:ascii="新宋体" w:eastAsia="新宋体"/>
          <w:b/>
          <w:sz w:val="24"/>
        </w:rPr>
      </w:pPr>
      <w:r>
        <w:rPr>
          <w:rFonts w:hint="eastAsia" w:ascii="新宋体" w:eastAsia="新宋体"/>
          <w:b/>
          <w:sz w:val="24"/>
        </w:rPr>
        <w:t>八</w:t>
      </w:r>
      <w:r>
        <w:rPr>
          <w:rFonts w:hint="eastAsia" w:ascii="新宋体" w:eastAsia="新宋体"/>
          <w:b/>
          <w:sz w:val="24"/>
        </w:rPr>
        <w:tab/>
      </w:r>
      <w:r>
        <w:rPr>
          <w:rFonts w:hint="eastAsia" w:ascii="新宋体" w:eastAsia="新宋体"/>
          <w:b/>
          <w:sz w:val="24"/>
        </w:rPr>
        <w:t>备品备件：</w:t>
      </w:r>
    </w:p>
    <w:p>
      <w:pPr>
        <w:spacing w:before="118" w:line="480" w:lineRule="exact"/>
        <w:ind w:right="536"/>
        <w:rPr>
          <w:rFonts w:ascii="新宋体" w:eastAsia="新宋体"/>
          <w:sz w:val="24"/>
        </w:rPr>
      </w:pPr>
      <w:r>
        <w:rPr>
          <w:rFonts w:hint="eastAsia" w:ascii="新宋体" w:eastAsia="新宋体"/>
          <w:sz w:val="24"/>
        </w:rPr>
        <w:t>1、 卖方应提供按出厂标准供应的备品备件清单。</w:t>
      </w:r>
    </w:p>
    <w:p>
      <w:pPr>
        <w:spacing w:before="118" w:line="480" w:lineRule="exact"/>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480" w:lineRule="exact"/>
        <w:ind w:right="536"/>
        <w:rPr>
          <w:rFonts w:ascii="新宋体" w:eastAsia="新宋体"/>
          <w:b/>
          <w:sz w:val="24"/>
        </w:rPr>
      </w:pPr>
      <w:r>
        <w:rPr>
          <w:rFonts w:hint="eastAsia" w:ascii="新宋体" w:eastAsia="新宋体"/>
          <w:b/>
          <w:sz w:val="24"/>
        </w:rPr>
        <w:t>九</w:t>
      </w:r>
      <w:r>
        <w:rPr>
          <w:rFonts w:hint="eastAsia" w:ascii="新宋体" w:eastAsia="新宋体"/>
          <w:b/>
          <w:sz w:val="24"/>
        </w:rPr>
        <w:tab/>
      </w:r>
      <w:r>
        <w:rPr>
          <w:rFonts w:hint="eastAsia" w:ascii="新宋体" w:eastAsia="新宋体"/>
          <w:b/>
          <w:w w:val="95"/>
          <w:sz w:val="24"/>
        </w:rPr>
        <w:t>售后服务：</w:t>
      </w:r>
    </w:p>
    <w:p>
      <w:pPr>
        <w:spacing w:before="118" w:line="480" w:lineRule="exact"/>
        <w:ind w:right="536"/>
        <w:rPr>
          <w:rFonts w:ascii="新宋体" w:eastAsia="新宋体"/>
          <w:sz w:val="24"/>
        </w:rPr>
      </w:pPr>
      <w:r>
        <w:rPr>
          <w:rFonts w:hint="eastAsia" w:ascii="新宋体" w:eastAsia="新宋体"/>
          <w:sz w:val="24"/>
        </w:rPr>
        <w:t>1、 在货物的质保期内，如有制造质量的问题或质量缺陷，卖方应免费予以更换，保证用户工作及时正常运行。在用户使用的头三个月内，同一台设备出现第二次质量问题，卖方应免费整体更换。卖方须在质保期内应免费提供备件并终身维修。</w:t>
      </w:r>
    </w:p>
    <w:p>
      <w:pPr>
        <w:spacing w:line="480" w:lineRule="exact"/>
        <w:ind w:right="536"/>
        <w:rPr>
          <w:rFonts w:ascii="新宋体" w:eastAsia="新宋体"/>
          <w:sz w:val="24"/>
        </w:rPr>
      </w:pPr>
      <w:r>
        <w:rPr>
          <w:rFonts w:hint="eastAsia" w:ascii="新宋体" w:eastAsia="新宋体"/>
          <w:sz w:val="24"/>
        </w:rPr>
        <w:t>2、 卖方应在质保期内提供免费上门维修服务，并进行终身维护，需注明售后服务机构的名称、联系方法并提供证明材料。</w:t>
      </w:r>
    </w:p>
    <w:p>
      <w:pPr>
        <w:spacing w:line="480" w:lineRule="exact"/>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480" w:lineRule="exact"/>
        <w:ind w:right="536"/>
        <w:rPr>
          <w:rFonts w:ascii="新宋体" w:eastAsia="新宋体"/>
          <w:b/>
          <w:sz w:val="24"/>
        </w:rPr>
      </w:pPr>
      <w:r>
        <w:rPr>
          <w:rFonts w:hint="eastAsia" w:ascii="新宋体" w:eastAsia="新宋体"/>
          <w:b/>
          <w:sz w:val="24"/>
        </w:rPr>
        <w:t>十</w:t>
      </w:r>
      <w:r>
        <w:rPr>
          <w:rFonts w:hint="eastAsia" w:ascii="新宋体" w:eastAsia="新宋体"/>
          <w:b/>
          <w:sz w:val="24"/>
        </w:rPr>
        <w:tab/>
      </w:r>
      <w:r>
        <w:rPr>
          <w:rFonts w:hint="eastAsia" w:ascii="新宋体" w:eastAsia="新宋体"/>
          <w:b/>
          <w:sz w:val="24"/>
        </w:rPr>
        <w:t>交货时间、地点：</w:t>
      </w:r>
    </w:p>
    <w:p>
      <w:pPr>
        <w:spacing w:before="4" w:line="480" w:lineRule="exact"/>
        <w:ind w:right="536"/>
        <w:rPr>
          <w:rFonts w:ascii="新宋体" w:eastAsia="新宋体"/>
          <w:sz w:val="24"/>
        </w:rPr>
      </w:pPr>
      <w:r>
        <w:rPr>
          <w:rFonts w:hint="eastAsia" w:ascii="新宋体" w:eastAsia="新宋体"/>
          <w:sz w:val="24"/>
        </w:rPr>
        <w:t xml:space="preserve">1、 交货时间： </w:t>
      </w:r>
      <w:r>
        <w:rPr>
          <w:rFonts w:hint="eastAsia" w:ascii="新宋体" w:eastAsia="新宋体"/>
          <w:sz w:val="24"/>
          <w:lang w:val="en-US" w:eastAsia="zh-CN"/>
        </w:rPr>
        <w:t>60</w:t>
      </w:r>
      <w:r>
        <w:rPr>
          <w:rFonts w:hint="eastAsia" w:ascii="新宋体" w:eastAsia="新宋体"/>
          <w:sz w:val="24"/>
        </w:rPr>
        <w:t>日历天内</w:t>
      </w:r>
    </w:p>
    <w:p>
      <w:pPr>
        <w:spacing w:before="118" w:line="480" w:lineRule="exact"/>
        <w:ind w:right="536"/>
        <w:rPr>
          <w:rFonts w:ascii="新宋体" w:eastAsia="新宋体"/>
          <w:sz w:val="24"/>
        </w:rPr>
      </w:pPr>
      <w:r>
        <w:rPr>
          <w:rFonts w:hint="eastAsia" w:ascii="新宋体" w:eastAsia="新宋体"/>
          <w:sz w:val="24"/>
        </w:rPr>
        <w:t>2、 交货地点：招标人指定地点</w:t>
      </w:r>
    </w:p>
    <w:p>
      <w:pPr>
        <w:spacing w:before="118" w:line="480" w:lineRule="exact"/>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 xml:space="preserve">注：如是进口设备须由中标人自行办理一切相关手续，若因手续问题导致无法交货，   </w:t>
      </w:r>
      <w:r>
        <w:rPr>
          <w:rFonts w:hint="eastAsia" w:ascii="新宋体" w:eastAsia="新宋体"/>
          <w:b/>
          <w:sz w:val="24"/>
        </w:rPr>
        <w:t>则全部责任由中标人承担。招标人有权进行重新采购。）</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十一</w:t>
      </w:r>
      <w:r>
        <w:rPr>
          <w:rFonts w:hint="eastAsia" w:ascii="新宋体" w:eastAsia="新宋体"/>
          <w:b/>
          <w:sz w:val="24"/>
        </w:rPr>
        <w:tab/>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480" w:lineRule="exact"/>
        <w:ind w:right="536"/>
        <w:rPr>
          <w:rFonts w:ascii="新宋体" w:eastAsia="新宋体"/>
          <w:sz w:val="24"/>
        </w:rPr>
      </w:pPr>
      <w:r>
        <w:rPr>
          <w:rFonts w:hint="eastAsia" w:ascii="新宋体" w:eastAsia="新宋体"/>
          <w:sz w:val="24"/>
        </w:rPr>
        <w:t>1、 支付方式：合同签订后7天内支付合同价款的30%，货物到场安装前支付至合同价款的60%，安装验收合格后支付至合同价款的90%，留10%的质保金。</w:t>
      </w:r>
    </w:p>
    <w:p>
      <w:pPr>
        <w:spacing w:before="4" w:line="480" w:lineRule="exact"/>
        <w:ind w:right="536"/>
        <w:rPr>
          <w:rFonts w:ascii="新宋体" w:eastAsia="新宋体"/>
          <w:sz w:val="24"/>
        </w:rPr>
      </w:pPr>
      <w:r>
        <w:rPr>
          <w:rFonts w:hint="eastAsia" w:ascii="新宋体" w:eastAsia="新宋体"/>
          <w:sz w:val="24"/>
        </w:rPr>
        <w:t>2、 付款单位：湖南省湘澧盐化有限责任公司</w:t>
      </w:r>
    </w:p>
    <w:p>
      <w:pPr>
        <w:spacing w:line="480" w:lineRule="exact"/>
        <w:ind w:right="536"/>
        <w:rPr>
          <w:rFonts w:ascii="新宋体" w:eastAsia="新宋体"/>
          <w:b/>
          <w:sz w:val="24"/>
        </w:rPr>
      </w:pPr>
      <w:r>
        <w:rPr>
          <w:rFonts w:hint="eastAsia" w:ascii="新宋体" w:eastAsia="新宋体"/>
          <w:b/>
          <w:sz w:val="24"/>
        </w:rPr>
        <w:t>十二 违约责任：</w:t>
      </w:r>
    </w:p>
    <w:p>
      <w:pPr>
        <w:pStyle w:val="22"/>
        <w:numPr>
          <w:ilvl w:val="1"/>
          <w:numId w:val="2"/>
        </w:numPr>
        <w:tabs>
          <w:tab w:val="left" w:pos="0"/>
        </w:tabs>
        <w:spacing w:line="480" w:lineRule="exact"/>
        <w:ind w:left="0" w:right="536" w:firstLine="0"/>
        <w:rPr>
          <w:rFonts w:ascii="新宋体" w:hAnsi="新宋体" w:eastAsia="新宋体"/>
          <w:sz w:val="24"/>
          <w:szCs w:val="24"/>
        </w:rPr>
      </w:pP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2"/>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2"/>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2"/>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480" w:lineRule="exact"/>
        <w:ind w:right="536"/>
        <w:rPr>
          <w:rFonts w:ascii="新宋体" w:eastAsia="新宋体"/>
          <w:sz w:val="24"/>
        </w:rPr>
      </w:pPr>
      <w:r>
        <w:rPr>
          <w:rFonts w:hint="eastAsia" w:ascii="新宋体" w:eastAsia="新宋体"/>
          <w:sz w:val="24"/>
        </w:rPr>
        <w:t>标志、包装、说明书、运输、贮存等都应执行国家的有关规定。</w:t>
      </w:r>
    </w:p>
    <w:p>
      <w:pPr>
        <w:spacing w:before="118" w:line="480" w:lineRule="exact"/>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480" w:lineRule="exact"/>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480" w:lineRule="exact"/>
        <w:ind w:right="536"/>
        <w:rPr>
          <w:rFonts w:ascii="新宋体" w:eastAsia="新宋体"/>
          <w:sz w:val="24"/>
        </w:rPr>
      </w:pPr>
      <w:r>
        <w:rPr>
          <w:rFonts w:hint="eastAsia" w:ascii="新宋体" w:eastAsia="新宋体"/>
          <w:sz w:val="24"/>
        </w:rPr>
        <w:t>3、 下列文件属合同的依据和附件：</w:t>
      </w:r>
    </w:p>
    <w:p>
      <w:pPr>
        <w:spacing w:before="58" w:line="480" w:lineRule="exact"/>
        <w:ind w:right="536"/>
        <w:rPr>
          <w:rFonts w:ascii="新宋体" w:eastAsia="新宋体"/>
          <w:sz w:val="24"/>
        </w:rPr>
      </w:pPr>
      <w:r>
        <w:rPr>
          <w:rFonts w:hint="eastAsia" w:ascii="新宋体" w:eastAsia="新宋体"/>
          <w:sz w:val="24"/>
        </w:rPr>
        <w:t>a、文件、补充说明及中标通知书；</w:t>
      </w:r>
    </w:p>
    <w:p>
      <w:pPr>
        <w:spacing w:before="118" w:line="480" w:lineRule="exact"/>
        <w:ind w:right="536"/>
        <w:rPr>
          <w:rFonts w:ascii="新宋体" w:eastAsia="新宋体"/>
          <w:sz w:val="24"/>
        </w:rPr>
      </w:pPr>
      <w:r>
        <w:rPr>
          <w:rFonts w:hint="eastAsia" w:ascii="新宋体" w:eastAsia="新宋体"/>
          <w:sz w:val="24"/>
        </w:rPr>
        <w:t>b、投标书、投标补充说明、服务承诺；</w:t>
      </w:r>
    </w:p>
    <w:p>
      <w:pPr>
        <w:spacing w:before="118" w:line="480" w:lineRule="exact"/>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7"/>
        <w:spacing w:before="6" w:line="480" w:lineRule="exact"/>
        <w:ind w:right="536"/>
        <w:rPr>
          <w:rFonts w:ascii="新宋体"/>
          <w:sz w:val="24"/>
          <w:szCs w:val="24"/>
        </w:rPr>
      </w:pPr>
    </w:p>
    <w:p>
      <w:pPr>
        <w:tabs>
          <w:tab w:val="left" w:pos="1099"/>
          <w:tab w:val="left" w:pos="4179"/>
          <w:tab w:val="left" w:pos="4619"/>
        </w:tabs>
        <w:spacing w:line="480" w:lineRule="exact"/>
        <w:ind w:right="536"/>
        <w:rPr>
          <w:rFonts w:ascii="新宋体" w:eastAsia="新宋体"/>
          <w:sz w:val="24"/>
        </w:rPr>
      </w:pPr>
      <w:r>
        <w:rPr>
          <w:rFonts w:hint="eastAsia" w:ascii="新宋体" w:eastAsia="新宋体"/>
          <w:sz w:val="24"/>
        </w:rPr>
        <w:t>买</w:t>
      </w:r>
      <w:r>
        <w:rPr>
          <w:rFonts w:hint="eastAsia" w:ascii="新宋体" w:eastAsia="新宋体"/>
          <w:sz w:val="24"/>
        </w:rPr>
        <w:tab/>
      </w:r>
      <w:r>
        <w:rPr>
          <w:rFonts w:hint="eastAsia" w:ascii="新宋体" w:eastAsia="新宋体"/>
          <w:sz w:val="24"/>
        </w:rPr>
        <w:t>方：</w:t>
      </w:r>
      <w:r>
        <w:rPr>
          <w:rFonts w:hint="eastAsia" w:ascii="新宋体" w:eastAsia="新宋体"/>
          <w:sz w:val="24"/>
        </w:rPr>
        <w:tab/>
      </w:r>
      <w:r>
        <w:rPr>
          <w:rFonts w:hint="eastAsia" w:ascii="新宋体" w:eastAsia="新宋体"/>
          <w:sz w:val="24"/>
          <w:lang w:val="en-US" w:eastAsia="zh-CN"/>
        </w:rPr>
        <w:t xml:space="preserve">  </w:t>
      </w:r>
      <w:r>
        <w:rPr>
          <w:rFonts w:hint="eastAsia" w:ascii="新宋体" w:eastAsia="新宋体"/>
          <w:sz w:val="24"/>
        </w:rPr>
        <w:t>卖</w:t>
      </w:r>
      <w:r>
        <w:rPr>
          <w:rFonts w:hint="eastAsia" w:ascii="新宋体" w:eastAsia="新宋体"/>
          <w:sz w:val="24"/>
        </w:rPr>
        <w:tab/>
      </w:r>
      <w:r>
        <w:rPr>
          <w:rFonts w:hint="eastAsia" w:ascii="新宋体" w:eastAsia="新宋体"/>
          <w:sz w:val="24"/>
          <w:lang w:val="en-US" w:eastAsia="zh-CN"/>
        </w:rPr>
        <w:t xml:space="preserve">  </w:t>
      </w:r>
      <w:r>
        <w:rPr>
          <w:rFonts w:hint="eastAsia" w:ascii="新宋体" w:eastAsia="新宋体"/>
          <w:sz w:val="24"/>
        </w:rPr>
        <w:t>方：</w:t>
      </w:r>
    </w:p>
    <w:p>
      <w:pPr>
        <w:tabs>
          <w:tab w:val="left" w:pos="4069"/>
        </w:tabs>
        <w:spacing w:before="118" w:line="480" w:lineRule="exact"/>
        <w:ind w:right="536"/>
        <w:rPr>
          <w:rFonts w:ascii="新宋体" w:eastAsia="新宋体"/>
          <w:sz w:val="24"/>
        </w:rPr>
      </w:pPr>
      <w:r>
        <w:rPr>
          <w:rFonts w:hint="eastAsia" w:ascii="新宋体" w:eastAsia="新宋体"/>
          <w:sz w:val="24"/>
        </w:rPr>
        <w:t>（盖章）</w:t>
      </w:r>
      <w:r>
        <w:rPr>
          <w:rFonts w:hint="eastAsia" w:ascii="新宋体" w:eastAsia="新宋体"/>
          <w:sz w:val="24"/>
        </w:rPr>
        <w:tab/>
      </w:r>
      <w:r>
        <w:rPr>
          <w:rFonts w:hint="eastAsia" w:ascii="新宋体" w:eastAsia="新宋体"/>
          <w:sz w:val="24"/>
          <w:lang w:val="en-US" w:eastAsia="zh-CN"/>
        </w:rPr>
        <w:t xml:space="preserve">  </w:t>
      </w:r>
      <w:r>
        <w:rPr>
          <w:rFonts w:hint="eastAsia" w:ascii="新宋体" w:eastAsia="新宋体"/>
          <w:sz w:val="24"/>
        </w:rPr>
        <w:t>（盖章）</w:t>
      </w:r>
    </w:p>
    <w:p>
      <w:pPr>
        <w:pStyle w:val="7"/>
        <w:spacing w:before="5" w:line="480" w:lineRule="exact"/>
        <w:ind w:right="536"/>
        <w:rPr>
          <w:rFonts w:ascii="新宋体"/>
          <w:sz w:val="24"/>
          <w:szCs w:val="24"/>
        </w:rPr>
      </w:pPr>
    </w:p>
    <w:p>
      <w:pPr>
        <w:spacing w:line="480" w:lineRule="exact"/>
        <w:ind w:right="536"/>
        <w:rPr>
          <w:rFonts w:ascii="新宋体" w:eastAsia="新宋体"/>
          <w:sz w:val="24"/>
        </w:rPr>
      </w:pPr>
      <w:r>
        <w:rPr>
          <w:rFonts w:hint="eastAsia" w:ascii="新宋体" w:eastAsia="新宋体"/>
          <w:sz w:val="24"/>
        </w:rPr>
        <w:t>授权代表（签字）：</w:t>
      </w:r>
      <w:r>
        <w:rPr>
          <w:rFonts w:hint="eastAsia" w:ascii="新宋体" w:eastAsia="新宋体"/>
          <w:sz w:val="24"/>
        </w:rPr>
        <w:tab/>
      </w:r>
      <w:r>
        <w:rPr>
          <w:rFonts w:hint="eastAsia" w:ascii="新宋体" w:eastAsia="新宋体"/>
          <w:sz w:val="24"/>
        </w:rPr>
        <w:tab/>
      </w:r>
      <w:r>
        <w:rPr>
          <w:rFonts w:hint="eastAsia" w:ascii="新宋体" w:eastAsia="新宋体"/>
          <w:sz w:val="24"/>
        </w:rPr>
        <w:t xml:space="preserve">                授权代表（签字</w:t>
      </w:r>
      <w:r>
        <w:rPr>
          <w:rFonts w:hint="eastAsia" w:ascii="新宋体" w:eastAsia="新宋体"/>
          <w:spacing w:val="-9"/>
          <w:sz w:val="24"/>
        </w:rPr>
        <w:t xml:space="preserve">）： </w:t>
      </w:r>
      <w:r>
        <w:rPr>
          <w:rFonts w:hint="eastAsia" w:ascii="新宋体" w:eastAsia="新宋体"/>
          <w:sz w:val="24"/>
        </w:rPr>
        <w:t>开户银行：</w:t>
      </w:r>
    </w:p>
    <w:p>
      <w:pPr>
        <w:spacing w:line="480" w:lineRule="exact"/>
        <w:ind w:right="536"/>
        <w:rPr>
          <w:rFonts w:ascii="新宋体" w:eastAsia="新宋体"/>
          <w:sz w:val="24"/>
        </w:rPr>
      </w:pPr>
      <w:r>
        <w:rPr>
          <w:rFonts w:hint="eastAsia" w:ascii="新宋体" w:eastAsia="新宋体"/>
          <w:sz w:val="24"/>
        </w:rPr>
        <w:t>帐</w:t>
      </w:r>
      <w:r>
        <w:rPr>
          <w:rFonts w:hint="eastAsia" w:ascii="新宋体" w:eastAsia="新宋体"/>
          <w:sz w:val="24"/>
        </w:rPr>
        <w:tab/>
      </w:r>
      <w:r>
        <w:rPr>
          <w:rFonts w:hint="eastAsia" w:ascii="新宋体" w:eastAsia="新宋体"/>
          <w:sz w:val="24"/>
        </w:rPr>
        <w:t>号：                              帐</w:t>
      </w:r>
      <w:r>
        <w:rPr>
          <w:rFonts w:hint="eastAsia" w:ascii="新宋体" w:eastAsia="新宋体"/>
          <w:sz w:val="24"/>
        </w:rPr>
        <w:tab/>
      </w:r>
      <w:r>
        <w:rPr>
          <w:rFonts w:hint="eastAsia" w:ascii="新宋体" w:eastAsia="新宋体"/>
          <w:sz w:val="24"/>
        </w:rPr>
        <w:t>号：</w:t>
      </w:r>
    </w:p>
    <w:p>
      <w:pPr>
        <w:tabs>
          <w:tab w:val="left" w:pos="6489"/>
          <w:tab w:val="left" w:pos="7149"/>
        </w:tabs>
        <w:spacing w:before="100" w:line="480" w:lineRule="exact"/>
        <w:ind w:right="536"/>
        <w:rPr>
          <w:rFonts w:ascii="新宋体" w:eastAsia="新宋体"/>
          <w:sz w:val="24"/>
        </w:rPr>
      </w:pPr>
      <w:r>
        <w:rPr>
          <w:rFonts w:hint="eastAsia" w:ascii="新宋体" w:eastAsia="新宋体"/>
          <w:sz w:val="24"/>
        </w:rPr>
        <w:t>合同签订日：   年 月  日             合同签订日：   年 月  日</w:t>
      </w: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pStyle w:val="24"/>
        <w:spacing w:before="12"/>
        <w:ind w:left="10"/>
        <w:rPr>
          <w:rFonts w:asciiTheme="minorEastAsia" w:hAnsiTheme="minorEastAsia" w:eastAsiaTheme="minorEastAsia" w:cstheme="minorEastAsia"/>
          <w:kern w:val="2"/>
          <w:sz w:val="24"/>
          <w:szCs w:val="24"/>
          <w:lang w:val="en-US" w:bidi="ar-SA"/>
        </w:rPr>
      </w:pPr>
    </w:p>
    <w:p>
      <w:pPr>
        <w:spacing w:before="28"/>
        <w:ind w:right="99"/>
        <w:jc w:val="center"/>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hint="eastAsia" w:cs="Microsoft JhengHei" w:asciiTheme="majorEastAsia" w:hAnsiTheme="majorEastAsia" w:eastAsiaTheme="majorEastAsia"/>
          <w:b/>
          <w:bCs/>
          <w:kern w:val="0"/>
          <w:sz w:val="44"/>
          <w:szCs w:val="44"/>
          <w:lang w:val="zh-CN" w:bidi="zh-CN"/>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460" w:lineRule="exact"/>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460" w:lineRule="exact"/>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460" w:lineRule="exact"/>
        <w:rPr>
          <w:sz w:val="24"/>
        </w:rPr>
      </w:pPr>
      <w:r>
        <w:rPr>
          <w:rFonts w:hint="eastAsia"/>
          <w:sz w:val="24"/>
        </w:rPr>
        <w:t>三、投标方的资格证明材料；</w:t>
      </w:r>
    </w:p>
    <w:p>
      <w:pPr>
        <w:autoSpaceDE w:val="0"/>
        <w:autoSpaceDN w:val="0"/>
        <w:adjustRightInd w:val="0"/>
        <w:spacing w:line="460" w:lineRule="exact"/>
        <w:ind w:left="1" w:firstLine="424" w:firstLineChars="177"/>
        <w:rPr>
          <w:sz w:val="24"/>
        </w:rPr>
      </w:pPr>
      <w:r>
        <w:rPr>
          <w:rFonts w:hint="eastAsia"/>
          <w:sz w:val="24"/>
        </w:rPr>
        <w:t>①法定代表人身份证明；</w:t>
      </w:r>
    </w:p>
    <w:p>
      <w:pPr>
        <w:autoSpaceDE w:val="0"/>
        <w:autoSpaceDN w:val="0"/>
        <w:adjustRightInd w:val="0"/>
        <w:spacing w:line="460" w:lineRule="exact"/>
        <w:ind w:firstLine="424" w:firstLineChars="177"/>
        <w:rPr>
          <w:sz w:val="24"/>
        </w:rPr>
      </w:pPr>
      <w:r>
        <w:rPr>
          <w:rFonts w:hint="eastAsia"/>
          <w:sz w:val="24"/>
        </w:rPr>
        <w:t>②法定代表人授权书；</w:t>
      </w:r>
    </w:p>
    <w:p>
      <w:pPr>
        <w:autoSpaceDE w:val="0"/>
        <w:autoSpaceDN w:val="0"/>
        <w:adjustRightInd w:val="0"/>
        <w:spacing w:line="460" w:lineRule="exact"/>
        <w:ind w:firstLine="424" w:firstLineChars="177"/>
        <w:rPr>
          <w:sz w:val="24"/>
        </w:rPr>
      </w:pPr>
      <w:r>
        <w:rPr>
          <w:rFonts w:hint="eastAsia"/>
          <w:sz w:val="24"/>
        </w:rPr>
        <w:t>③投标方基本情况表；</w:t>
      </w:r>
    </w:p>
    <w:p>
      <w:pPr>
        <w:autoSpaceDE w:val="0"/>
        <w:autoSpaceDN w:val="0"/>
        <w:adjustRightInd w:val="0"/>
        <w:spacing w:line="460" w:lineRule="exact"/>
        <w:ind w:firstLine="424" w:firstLineChars="177"/>
        <w:rPr>
          <w:sz w:val="24"/>
        </w:rPr>
      </w:pPr>
      <w:r>
        <w:rPr>
          <w:rFonts w:hint="eastAsia"/>
          <w:sz w:val="24"/>
        </w:rPr>
        <w:t>④信用证明材料；</w:t>
      </w:r>
    </w:p>
    <w:p>
      <w:pPr>
        <w:autoSpaceDE w:val="0"/>
        <w:autoSpaceDN w:val="0"/>
        <w:adjustRightInd w:val="0"/>
        <w:spacing w:line="460" w:lineRule="exact"/>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460" w:lineRule="exact"/>
        <w:rPr>
          <w:sz w:val="24"/>
        </w:rPr>
      </w:pPr>
      <w:r>
        <w:rPr>
          <w:rFonts w:hint="eastAsia" w:ascii="宋体" w:hAnsi="宋体"/>
          <w:color w:val="000000"/>
          <w:sz w:val="24"/>
        </w:rPr>
        <w:t>复印件均须加盖投标单位公章。</w:t>
      </w:r>
    </w:p>
    <w:p>
      <w:pPr>
        <w:autoSpaceDE w:val="0"/>
        <w:autoSpaceDN w:val="0"/>
        <w:adjustRightInd w:val="0"/>
        <w:spacing w:line="460" w:lineRule="exact"/>
        <w:rPr>
          <w:sz w:val="24"/>
        </w:rPr>
      </w:pPr>
      <w:r>
        <w:rPr>
          <w:rFonts w:hint="eastAsia"/>
          <w:sz w:val="24"/>
          <w:lang w:val="en-US" w:eastAsia="zh-CN"/>
        </w:rPr>
        <w:t>四</w:t>
      </w:r>
      <w:r>
        <w:rPr>
          <w:rFonts w:hint="eastAsia"/>
          <w:sz w:val="24"/>
        </w:rPr>
        <w:t>、</w:t>
      </w:r>
      <w:r>
        <w:rPr>
          <w:rFonts w:hint="eastAsia"/>
          <w:sz w:val="24"/>
          <w:lang w:val="en-US" w:eastAsia="zh-CN"/>
        </w:rPr>
        <w:t>相关</w:t>
      </w:r>
      <w:r>
        <w:rPr>
          <w:rFonts w:hint="eastAsia"/>
          <w:sz w:val="24"/>
        </w:rPr>
        <w:t>业绩</w:t>
      </w:r>
    </w:p>
    <w:p>
      <w:pPr>
        <w:autoSpaceDE w:val="0"/>
        <w:autoSpaceDN w:val="0"/>
        <w:adjustRightInd w:val="0"/>
        <w:spacing w:line="460" w:lineRule="exact"/>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、服务承诺书</w:t>
      </w:r>
    </w:p>
    <w:p>
      <w:pPr>
        <w:adjustRightInd w:val="0"/>
        <w:snapToGrid w:val="0"/>
        <w:spacing w:line="360" w:lineRule="auto"/>
        <w:rPr>
          <w:sz w:val="24"/>
        </w:rPr>
      </w:pPr>
    </w:p>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7"/>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投标文件正本1份，副本2份。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1</w:t>
      </w:r>
      <w:r>
        <w:rPr>
          <w:rFonts w:hint="eastAsia"/>
          <w:sz w:val="24"/>
        </w:rPr>
        <w:t>）</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2</w:t>
      </w:r>
      <w:r>
        <w:rPr>
          <w:rFonts w:hint="eastAsia"/>
          <w:sz w:val="24"/>
        </w:rPr>
        <w:t>）</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4" w:type="default"/>
          <w:pgSz w:w="11905" w:h="16838"/>
          <w:pgMar w:top="1440" w:right="1640" w:bottom="782" w:left="1700" w:header="0" w:footer="499" w:gutter="0"/>
          <w:cols w:space="0" w:num="1"/>
          <w:rtlGutter w:val="0"/>
          <w:docGrid w:linePitch="0" w:charSpace="0"/>
        </w:sectPr>
      </w:pPr>
    </w:p>
    <w:p>
      <w:pPr>
        <w:spacing w:line="732" w:lineRule="exact"/>
        <w:ind w:right="-31"/>
        <w:jc w:val="center"/>
        <w:rPr>
          <w:rFonts w:ascii="Microsoft JhengHei" w:eastAsiaTheme="minorEastAsia"/>
          <w:b/>
          <w:sz w:val="44"/>
          <w:szCs w:val="44"/>
        </w:rPr>
      </w:pPr>
      <w:r>
        <w:rPr>
          <w:rFonts w:hint="eastAsia" w:ascii="Microsoft JhengHei" w:eastAsiaTheme="minorEastAsia"/>
          <w:b/>
          <w:sz w:val="44"/>
          <w:szCs w:val="44"/>
        </w:rPr>
        <w:t>二、投标报价明细</w:t>
      </w:r>
    </w:p>
    <w:p>
      <w:pPr>
        <w:rPr>
          <w:rFonts w:ascii="仿宋_GB2312" w:eastAsia="仿宋_GB2312"/>
          <w:sz w:val="32"/>
          <w:szCs w:val="32"/>
        </w:rPr>
      </w:pPr>
    </w:p>
    <w:p>
      <w:pPr>
        <w:rPr>
          <w:rFonts w:hint="default" w:asciiTheme="minorEastAsia" w:hAnsiTheme="minorEastAsia" w:eastAsiaTheme="minorEastAsia"/>
          <w:sz w:val="30"/>
          <w:szCs w:val="30"/>
          <w:lang w:val="en-US" w:eastAsia="zh-CN"/>
        </w:rPr>
      </w:pPr>
      <w:r>
        <w:rPr>
          <w:rFonts w:hint="eastAsia" w:asciiTheme="minorEastAsia" w:hAnsiTheme="minorEastAsia" w:eastAsiaTheme="minorEastAsia"/>
          <w:sz w:val="30"/>
          <w:szCs w:val="30"/>
        </w:rPr>
        <w:t>工</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程</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名</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称：</w:t>
      </w:r>
      <w:r>
        <w:rPr>
          <w:rFonts w:hint="eastAsia"/>
          <w:w w:val="90"/>
          <w:sz w:val="28"/>
          <w:szCs w:val="28"/>
          <w:lang w:val="en-US" w:eastAsia="zh-CN"/>
        </w:rPr>
        <w:t>生态盐分级分筛车间建设项目—小包二期除尘系统升级改造</w:t>
      </w:r>
    </w:p>
    <w:p>
      <w:pPr>
        <w:rPr>
          <w:rFonts w:asciiTheme="minorEastAsia" w:hAnsiTheme="minorEastAsia" w:eastAsiaTheme="minorEastAsia"/>
          <w:sz w:val="30"/>
          <w:szCs w:val="30"/>
        </w:rPr>
      </w:pPr>
    </w:p>
    <w:p>
      <w:pPr>
        <w:rPr>
          <w:rFonts w:hint="default" w:asciiTheme="minorEastAsia" w:hAnsiTheme="minorEastAsia" w:eastAsiaTheme="minorEastAsia"/>
          <w:sz w:val="30"/>
          <w:szCs w:val="30"/>
          <w:lang w:val="en-US" w:eastAsia="zh-CN"/>
        </w:rPr>
      </w:pPr>
      <w:r>
        <w:rPr>
          <w:rFonts w:hint="eastAsia" w:asciiTheme="minorEastAsia" w:hAnsiTheme="minorEastAsia" w:eastAsiaTheme="minorEastAsia"/>
          <w:sz w:val="30"/>
          <w:szCs w:val="30"/>
        </w:rPr>
        <w:t>建设单位名称：湖南省湘澧盐化有限责任公司</w:t>
      </w:r>
      <w:r>
        <w:rPr>
          <w:rFonts w:hint="eastAsia" w:asciiTheme="minorEastAsia" w:hAnsiTheme="minorEastAsia" w:eastAsiaTheme="minorEastAsia"/>
          <w:sz w:val="30"/>
          <w:szCs w:val="30"/>
          <w:lang w:val="en-US" w:eastAsia="zh-CN"/>
        </w:rPr>
        <w:t>包装厂</w:t>
      </w:r>
    </w:p>
    <w:p>
      <w:pPr>
        <w:rPr>
          <w:rFonts w:asciiTheme="minorEastAsia" w:hAnsiTheme="minorEastAsia" w:eastAsiaTheme="minorEastAsia"/>
          <w:sz w:val="30"/>
          <w:szCs w:val="30"/>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报价单位名称：</w:t>
      </w:r>
      <w:r>
        <w:rPr>
          <w:rFonts w:hint="eastAsia" w:asciiTheme="minorEastAsia" w:hAnsiTheme="minorEastAsia" w:eastAsiaTheme="minorEastAsia"/>
          <w:sz w:val="30"/>
          <w:szCs w:val="30"/>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报价明细：</w:t>
      </w:r>
    </w:p>
    <w:p>
      <w:pPr>
        <w:rPr>
          <w:rFonts w:ascii="仿宋_GB2312" w:eastAsia="仿宋_GB2312"/>
          <w:sz w:val="32"/>
          <w:szCs w:val="32"/>
        </w:rPr>
      </w:pPr>
    </w:p>
    <w:tbl>
      <w:tblPr>
        <w:tblStyle w:val="14"/>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572"/>
        <w:gridCol w:w="1806"/>
        <w:gridCol w:w="1314"/>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811"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序号</w:t>
            </w:r>
          </w:p>
        </w:tc>
        <w:tc>
          <w:tcPr>
            <w:tcW w:w="2572" w:type="dxa"/>
            <w:vAlign w:val="center"/>
          </w:tcPr>
          <w:p>
            <w:pPr>
              <w:spacing w:before="120" w:beforeLines="50"/>
              <w:jc w:val="center"/>
              <w:rPr>
                <w:rFonts w:hint="eastAsia" w:ascii="宋体" w:hAnsi="宋体" w:eastAsia="宋体" w:cs="Arial"/>
                <w:color w:val="000000"/>
                <w:sz w:val="24"/>
                <w:lang w:eastAsia="zh-CN"/>
              </w:rPr>
            </w:pPr>
            <w:r>
              <w:rPr>
                <w:rFonts w:hint="eastAsia" w:ascii="宋体" w:hAnsi="宋体" w:cs="Arial"/>
                <w:color w:val="000000"/>
                <w:sz w:val="24"/>
                <w:lang w:val="en-US" w:eastAsia="zh-CN"/>
              </w:rPr>
              <w:t>名   称</w:t>
            </w:r>
          </w:p>
        </w:tc>
        <w:tc>
          <w:tcPr>
            <w:tcW w:w="1806"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规格型号</w:t>
            </w:r>
          </w:p>
        </w:tc>
        <w:tc>
          <w:tcPr>
            <w:tcW w:w="1314"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数量（台）</w:t>
            </w:r>
          </w:p>
        </w:tc>
        <w:tc>
          <w:tcPr>
            <w:tcW w:w="1830" w:type="dxa"/>
            <w:vAlign w:val="center"/>
          </w:tcPr>
          <w:p>
            <w:pPr>
              <w:spacing w:before="120" w:beforeLines="50"/>
              <w:jc w:val="center"/>
              <w:rPr>
                <w:rFonts w:ascii="宋体" w:hAnsi="宋体" w:cs="Arial"/>
                <w:color w:val="000000"/>
                <w:sz w:val="24"/>
              </w:rPr>
            </w:pPr>
            <w:r>
              <w:rPr>
                <w:rFonts w:hint="eastAsia" w:ascii="宋体" w:hAnsi="宋体" w:cs="Arial"/>
                <w:color w:val="000000"/>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20" w:beforeLines="50" w:beforeAutospacing="0" w:after="0" w:afterAutospacing="0"/>
              <w:jc w:val="center"/>
              <w:rPr>
                <w:rFonts w:ascii="宋体" w:hAnsi="宋体"/>
                <w:color w:val="000000"/>
              </w:rPr>
            </w:pPr>
            <w:r>
              <w:rPr>
                <w:rFonts w:hint="eastAsia" w:ascii="宋体" w:hAnsi="宋体"/>
                <w:color w:val="000000"/>
              </w:rPr>
              <w:t>1</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3"/>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20" w:beforeLines="50" w:beforeAutospacing="0" w:after="0" w:afterAutospacing="0"/>
              <w:jc w:val="center"/>
              <w:rPr>
                <w:rFonts w:ascii="宋体" w:hAnsi="宋体"/>
                <w:color w:val="000000"/>
              </w:rPr>
            </w:pPr>
            <w:r>
              <w:rPr>
                <w:rFonts w:hint="eastAsia" w:ascii="宋体" w:hAnsi="宋体"/>
                <w:color w:val="000000"/>
              </w:rPr>
              <w:t>2</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3"/>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20" w:beforeLines="50" w:beforeAutospacing="0" w:after="0" w:afterAutospacing="0"/>
              <w:jc w:val="center"/>
              <w:rPr>
                <w:rFonts w:ascii="宋体" w:hAnsi="宋体"/>
                <w:color w:val="000000"/>
              </w:rPr>
            </w:pPr>
            <w:r>
              <w:rPr>
                <w:rFonts w:hint="eastAsia" w:ascii="宋体" w:hAnsi="宋体"/>
                <w:color w:val="000000"/>
              </w:rPr>
              <w:t>3</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3"/>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20" w:beforeLines="50" w:beforeAutospacing="0" w:after="0" w:afterAutospacing="0"/>
              <w:jc w:val="center"/>
              <w:rPr>
                <w:rFonts w:ascii="宋体" w:hAnsi="宋体"/>
                <w:color w:val="000000"/>
              </w:rPr>
            </w:pPr>
            <w:r>
              <w:rPr>
                <w:rFonts w:hint="eastAsia" w:ascii="宋体" w:hAnsi="宋体"/>
                <w:color w:val="000000"/>
              </w:rPr>
              <w:t>4</w:t>
            </w:r>
          </w:p>
        </w:tc>
        <w:tc>
          <w:tcPr>
            <w:tcW w:w="2572" w:type="dxa"/>
            <w:vAlign w:val="center"/>
          </w:tcPr>
          <w:p>
            <w:pPr>
              <w:adjustRightInd w:val="0"/>
              <w:snapToGrid w:val="0"/>
              <w:spacing w:line="360" w:lineRule="auto"/>
              <w:rPr>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3"/>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20" w:beforeLines="50" w:beforeAutospacing="0" w:after="0" w:afterAutospacing="0"/>
              <w:jc w:val="center"/>
              <w:rPr>
                <w:rFonts w:ascii="宋体" w:hAnsi="宋体"/>
                <w:color w:val="000000"/>
              </w:rPr>
            </w:pPr>
            <w:r>
              <w:rPr>
                <w:rFonts w:hint="eastAsia" w:ascii="宋体" w:hAnsi="宋体"/>
                <w:color w:val="000000"/>
              </w:rPr>
              <w:t>5</w:t>
            </w:r>
          </w:p>
        </w:tc>
        <w:tc>
          <w:tcPr>
            <w:tcW w:w="2572" w:type="dxa"/>
            <w:vAlign w:val="center"/>
          </w:tcPr>
          <w:p>
            <w:pPr>
              <w:widowControl/>
              <w:spacing w:before="120" w:beforeLines="50"/>
              <w:jc w:val="left"/>
              <w:rPr>
                <w:rFonts w:ascii="宋体" w:hAnsi="宋体" w:cs="宋体"/>
                <w:b/>
                <w:color w:val="000000"/>
                <w:kern w:val="0"/>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3"/>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20" w:beforeLines="50" w:beforeAutospacing="0" w:after="0" w:afterAutospacing="0"/>
              <w:jc w:val="center"/>
              <w:rPr>
                <w:rFonts w:hint="eastAsia" w:ascii="宋体" w:hAnsi="宋体" w:eastAsia="宋体"/>
                <w:color w:val="000000"/>
                <w:lang w:eastAsia="zh-CN"/>
              </w:rPr>
            </w:pPr>
            <w:r>
              <w:rPr>
                <w:rFonts w:hint="eastAsia" w:ascii="宋体" w:hAnsi="宋体"/>
                <w:color w:val="000000"/>
                <w:lang w:val="en-US" w:eastAsia="zh-CN"/>
              </w:rPr>
              <w:t>n</w:t>
            </w:r>
          </w:p>
        </w:tc>
        <w:tc>
          <w:tcPr>
            <w:tcW w:w="2572" w:type="dxa"/>
            <w:vAlign w:val="center"/>
          </w:tcPr>
          <w:p>
            <w:pPr>
              <w:widowControl/>
              <w:spacing w:before="120" w:beforeLines="50"/>
              <w:jc w:val="left"/>
              <w:rPr>
                <w:rFonts w:ascii="宋体" w:hAnsi="宋体" w:cs="宋体"/>
                <w:color w:val="000000"/>
                <w:kern w:val="0"/>
                <w:sz w:val="24"/>
              </w:rPr>
            </w:pPr>
          </w:p>
        </w:tc>
        <w:tc>
          <w:tcPr>
            <w:tcW w:w="1806" w:type="dxa"/>
            <w:vAlign w:val="center"/>
          </w:tcPr>
          <w:p>
            <w:pPr>
              <w:spacing w:before="120" w:beforeLines="50"/>
              <w:jc w:val="center"/>
              <w:rPr>
                <w:rFonts w:ascii="宋体" w:hAnsi="宋体"/>
                <w:color w:val="000000"/>
                <w:sz w:val="24"/>
              </w:rPr>
            </w:pPr>
          </w:p>
        </w:tc>
        <w:tc>
          <w:tcPr>
            <w:tcW w:w="1314" w:type="dxa"/>
            <w:vAlign w:val="center"/>
          </w:tcPr>
          <w:p>
            <w:pPr>
              <w:widowControl/>
              <w:spacing w:before="120" w:beforeLines="50"/>
              <w:jc w:val="center"/>
              <w:rPr>
                <w:rFonts w:ascii="宋体" w:hAnsi="宋体" w:cs="宋体"/>
                <w:color w:val="000000"/>
                <w:kern w:val="0"/>
                <w:sz w:val="24"/>
              </w:rPr>
            </w:pPr>
          </w:p>
        </w:tc>
        <w:tc>
          <w:tcPr>
            <w:tcW w:w="1830" w:type="dxa"/>
            <w:vAlign w:val="center"/>
          </w:tcPr>
          <w:p>
            <w:pPr>
              <w:pStyle w:val="13"/>
              <w:snapToGrid w:val="0"/>
              <w:spacing w:before="120"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20" w:beforeLines="50" w:beforeAutospacing="0" w:after="0" w:afterAutospacing="0"/>
              <w:jc w:val="center"/>
              <w:rPr>
                <w:rFonts w:ascii="宋体" w:hAnsi="宋体"/>
                <w:color w:val="000000"/>
              </w:rPr>
            </w:pPr>
          </w:p>
        </w:tc>
        <w:tc>
          <w:tcPr>
            <w:tcW w:w="2572" w:type="dxa"/>
            <w:vAlign w:val="center"/>
          </w:tcPr>
          <w:p>
            <w:pPr>
              <w:widowControl/>
              <w:spacing w:before="120" w:beforeLines="50"/>
              <w:jc w:val="center"/>
              <w:rPr>
                <w:rFonts w:ascii="宋体" w:hAnsi="宋体" w:cs="宋体"/>
                <w:color w:val="000000"/>
                <w:kern w:val="0"/>
                <w:sz w:val="24"/>
              </w:rPr>
            </w:pPr>
            <w:r>
              <w:rPr>
                <w:rFonts w:hint="eastAsia" w:ascii="宋体" w:hAnsi="宋体" w:cs="宋体"/>
                <w:color w:val="000000"/>
                <w:kern w:val="0"/>
                <w:sz w:val="24"/>
              </w:rPr>
              <w:t>合</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计</w:t>
            </w:r>
          </w:p>
        </w:tc>
        <w:tc>
          <w:tcPr>
            <w:tcW w:w="4950" w:type="dxa"/>
            <w:gridSpan w:val="3"/>
            <w:vAlign w:val="center"/>
          </w:tcPr>
          <w:p>
            <w:pPr>
              <w:pStyle w:val="13"/>
              <w:snapToGrid w:val="0"/>
              <w:spacing w:before="120" w:beforeLines="50" w:beforeAutospacing="0" w:after="0" w:afterAutospacing="0"/>
              <w:jc w:val="center"/>
              <w:rPr>
                <w:rFonts w:ascii="宋体" w:hAnsi="宋体"/>
                <w:color w:val="000000"/>
              </w:rPr>
            </w:pPr>
          </w:p>
        </w:tc>
      </w:tr>
    </w:tbl>
    <w:p>
      <w:pPr>
        <w:spacing w:line="360" w:lineRule="exact"/>
        <w:ind w:firstLine="3357" w:firstLineChars="1045"/>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b/>
          <w:sz w:val="32"/>
          <w:szCs w:val="32"/>
        </w:rPr>
        <w:t>合计总金额</w:t>
      </w:r>
      <w:r>
        <w:rPr>
          <w:rFonts w:hint="eastAsia" w:ascii="仿宋_GB2312" w:eastAsia="仿宋_GB2312"/>
          <w:sz w:val="32"/>
          <w:szCs w:val="32"/>
        </w:rPr>
        <w:t>：人民币大写</w:t>
      </w:r>
      <w:r>
        <w:rPr>
          <w:rFonts w:hint="eastAsia" w:ascii="Arial" w:hAnsi="Arial" w:cs="Arial"/>
          <w:sz w:val="30"/>
          <w:szCs w:val="30"/>
        </w:rPr>
        <w:t>：</w:t>
      </w:r>
      <w:r>
        <w:rPr>
          <w:rFonts w:hint="eastAsia" w:ascii="Arial" w:hAnsi="Arial" w:cs="Arial"/>
          <w:sz w:val="30"/>
          <w:szCs w:val="30"/>
          <w:u w:val="single"/>
        </w:rPr>
        <w:t xml:space="preserve">                   </w:t>
      </w:r>
      <w:r>
        <w:rPr>
          <w:rFonts w:hint="eastAsia" w:ascii="Arial" w:hAnsi="Arial" w:cs="Arial"/>
          <w:sz w:val="24"/>
          <w:u w:val="single"/>
        </w:rPr>
        <w:t xml:space="preserve">          </w:t>
      </w:r>
      <w:r>
        <w:rPr>
          <w:rFonts w:hint="eastAsia" w:ascii="仿宋_GB2312" w:eastAsia="仿宋_GB2312"/>
          <w:sz w:val="32"/>
          <w:szCs w:val="32"/>
        </w:rPr>
        <w:t>元</w:t>
      </w:r>
      <w:r>
        <w:rPr>
          <w:rFonts w:hint="eastAsia" w:ascii="Arial" w:hAnsi="Arial" w:cs="Arial"/>
          <w:sz w:val="24"/>
        </w:rPr>
        <w:t>。</w:t>
      </w:r>
      <w:r>
        <w:rPr>
          <w:rFonts w:hint="eastAsia" w:ascii="仿宋_GB2312" w:eastAsia="仿宋_GB2312"/>
          <w:sz w:val="32"/>
          <w:szCs w:val="32"/>
        </w:rPr>
        <w:t>（含增值税税率</w:t>
      </w: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spacing w:before="120" w:beforeLines="50" w:after="120" w:afterLines="50" w:line="300" w:lineRule="exact"/>
        <w:rPr>
          <w:rFonts w:ascii="宋体" w:hAnsi="Arial" w:cs="Arial"/>
          <w:sz w:val="24"/>
        </w:rPr>
      </w:pPr>
    </w:p>
    <w:p>
      <w:pPr>
        <w:spacing w:before="480" w:beforeLines="200" w:after="120" w:afterLines="50" w:line="600" w:lineRule="exact"/>
        <w:ind w:firstLine="4620" w:firstLineChars="1650"/>
        <w:rPr>
          <w:rFonts w:ascii="宋体" w:hAnsi="Arial" w:cs="Arial"/>
          <w:sz w:val="28"/>
          <w:szCs w:val="28"/>
        </w:rPr>
      </w:pPr>
      <w:r>
        <w:rPr>
          <w:rFonts w:hint="eastAsia" w:ascii="宋体" w:hAnsi="Arial" w:cs="Arial"/>
          <w:sz w:val="28"/>
          <w:szCs w:val="28"/>
        </w:rPr>
        <w:t>投标单位盖章</w:t>
      </w:r>
    </w:p>
    <w:p>
      <w:pPr>
        <w:spacing w:line="600" w:lineRule="exact"/>
        <w:ind w:right="480" w:firstLine="4620" w:firstLineChars="165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ascii="宋体" w:hAnsi="Arial" w:cs="Arial"/>
          <w:sz w:val="28"/>
          <w:szCs w:val="28"/>
        </w:rPr>
      </w:pPr>
      <w:r>
        <w:rPr>
          <w:rFonts w:hint="eastAsia" w:ascii="宋体" w:hAnsi="Arial" w:cs="Arial"/>
          <w:sz w:val="28"/>
          <w:szCs w:val="28"/>
        </w:rPr>
        <w:t>年   月   日</w:t>
      </w:r>
    </w:p>
    <w:p>
      <w:pPr>
        <w:spacing w:line="522" w:lineRule="exact"/>
        <w:jc w:val="center"/>
        <w:rPr>
          <w:rFonts w:ascii="Microsoft JhengHei" w:eastAsiaTheme="minorEastAsia"/>
          <w:b/>
          <w:sz w:val="44"/>
          <w:szCs w:val="44"/>
        </w:rPr>
      </w:pPr>
    </w:p>
    <w:p>
      <w:pPr>
        <w:spacing w:line="522" w:lineRule="exact"/>
        <w:jc w:val="center"/>
        <w:rPr>
          <w:rFonts w:ascii="Microsoft JhengHei" w:eastAsiaTheme="minorEastAsia"/>
          <w:b/>
          <w:sz w:val="44"/>
          <w:szCs w:val="44"/>
        </w:rPr>
      </w:pPr>
      <w:r>
        <w:rPr>
          <w:rFonts w:hint="eastAsia" w:ascii="Microsoft JhengHei" w:eastAsiaTheme="minorEastAsia"/>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7"/>
        <w:tabs>
          <w:tab w:val="left" w:pos="2880"/>
        </w:tabs>
        <w:rPr>
          <w:rFonts w:ascii="Microsoft JhengHei"/>
          <w:b/>
          <w:sz w:val="20"/>
        </w:rPr>
      </w:pPr>
      <w:r>
        <w:rPr>
          <w:rFonts w:ascii="Microsoft JhengHei"/>
          <w:b/>
          <w:sz w:val="20"/>
        </w:rPr>
        <w:tab/>
      </w:r>
    </w:p>
    <w:p>
      <w:pPr>
        <w:pStyle w:val="7"/>
        <w:spacing w:before="17"/>
        <w:rPr>
          <w:rFonts w:ascii="Microsoft JhengHei"/>
          <w:b/>
          <w:sz w:val="18"/>
        </w:rPr>
      </w:pPr>
    </w:p>
    <w:p>
      <w:pPr>
        <w:pStyle w:val="7"/>
        <w:spacing w:before="70" w:line="470" w:lineRule="auto"/>
        <w:ind w:right="-2"/>
        <w:rPr>
          <w:u w:val="single"/>
        </w:rPr>
      </w:pPr>
      <w:r>
        <w:t>投标人名称：</w:t>
      </w:r>
      <w:r>
        <w:rPr>
          <w:rFonts w:hint="eastAsia"/>
          <w:u w:val="single"/>
        </w:rPr>
        <w:t xml:space="preserve">                                   </w:t>
      </w:r>
    </w:p>
    <w:p>
      <w:pPr>
        <w:pStyle w:val="7"/>
        <w:spacing w:before="70" w:line="470" w:lineRule="auto"/>
        <w:ind w:right="-2"/>
        <w:rPr>
          <w:u w:val="single"/>
        </w:rPr>
      </w:pPr>
      <w:r>
        <w:t>注册号：</w:t>
      </w:r>
      <w:r>
        <w:rPr>
          <w:rFonts w:hint="eastAsia"/>
          <w:u w:val="single"/>
        </w:rPr>
        <w:t xml:space="preserve">                                       </w:t>
      </w:r>
    </w:p>
    <w:p>
      <w:pPr>
        <w:pStyle w:val="7"/>
        <w:spacing w:before="3"/>
        <w:rPr>
          <w:u w:val="single"/>
        </w:rPr>
      </w:pPr>
      <w:r>
        <w:t>注册地址：</w:t>
      </w:r>
      <w:r>
        <w:rPr>
          <w:rFonts w:hint="eastAsia"/>
        </w:rPr>
        <w:t xml:space="preserve"> </w:t>
      </w:r>
      <w:r>
        <w:rPr>
          <w:rFonts w:hint="eastAsia"/>
          <w:u w:val="single"/>
        </w:rPr>
        <w:t xml:space="preserve">                                    </w:t>
      </w:r>
    </w:p>
    <w:p>
      <w:pPr>
        <w:pStyle w:val="7"/>
        <w:spacing w:before="3"/>
        <w:rPr>
          <w:sz w:val="20"/>
        </w:rPr>
      </w:pPr>
    </w:p>
    <w:p>
      <w:pPr>
        <w:pStyle w:val="7"/>
        <w:spacing w:line="470" w:lineRule="auto"/>
        <w:ind w:left="204" w:right="-2" w:hanging="204" w:hangingChars="100"/>
        <w:rPr>
          <w:spacing w:val="-3"/>
          <w:u w:val="single"/>
        </w:rPr>
      </w:pPr>
      <w:r>
        <w:rPr>
          <w:spacing w:val="-3"/>
        </w:rPr>
        <w:t>成立时间：</w:t>
      </w:r>
      <w:r>
        <w:rPr>
          <w:rFonts w:hint="eastAsia"/>
          <w:spacing w:val="-3"/>
          <w:u w:val="single"/>
        </w:rPr>
        <w:t xml:space="preserve">                                        </w:t>
      </w:r>
    </w:p>
    <w:p>
      <w:pPr>
        <w:pStyle w:val="7"/>
        <w:spacing w:line="470" w:lineRule="auto"/>
        <w:ind w:left="210" w:right="-2" w:hanging="210" w:hangingChars="100"/>
        <w:rPr>
          <w:u w:val="single"/>
        </w:rPr>
      </w:pPr>
      <w:r>
        <w:t>经营期限：</w:t>
      </w:r>
      <w:r>
        <w:rPr>
          <w:rFonts w:hint="eastAsia"/>
          <w:u w:val="single"/>
        </w:rPr>
        <w:t xml:space="preserve">                                     </w:t>
      </w:r>
    </w:p>
    <w:p>
      <w:pPr>
        <w:pStyle w:val="7"/>
        <w:spacing w:before="2"/>
        <w:rPr>
          <w:u w:val="single"/>
        </w:rPr>
      </w:pPr>
      <w:r>
        <w:t>经营范围：</w:t>
      </w:r>
      <w:r>
        <w:rPr>
          <w:rFonts w:hint="eastAsia"/>
          <w:u w:val="single"/>
        </w:rPr>
        <w:t xml:space="preserve">                                    </w:t>
      </w:r>
    </w:p>
    <w:p>
      <w:pPr>
        <w:pStyle w:val="7"/>
        <w:spacing w:before="3"/>
        <w:rPr>
          <w:sz w:val="20"/>
        </w:rPr>
      </w:pPr>
    </w:p>
    <w:p>
      <w:pPr>
        <w:pStyle w:val="7"/>
        <w:spacing w:line="470" w:lineRule="auto"/>
        <w:ind w:right="4085"/>
      </w:pPr>
      <w:r>
        <w:t>姓名：性别：年龄：职务：系（投标人名称）</w:t>
      </w:r>
      <w:r>
        <w:rPr>
          <w:spacing w:val="-3"/>
        </w:rPr>
        <w:t>的法定代表人。</w:t>
      </w:r>
      <w:r>
        <w:t>特此证明。</w:t>
      </w:r>
    </w:p>
    <w:tbl>
      <w:tblPr>
        <w:tblStyle w:val="15"/>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1"/>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1" w:type="dxa"/>
          </w:tcPr>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tc>
        <w:tc>
          <w:tcPr>
            <w:tcW w:w="4288" w:type="dxa"/>
          </w:tcPr>
          <w:p>
            <w:pPr>
              <w:adjustRightInd w:val="0"/>
              <w:snapToGrid w:val="0"/>
              <w:spacing w:line="360" w:lineRule="auto"/>
              <w:ind w:right="420"/>
              <w:rPr>
                <w:rFonts w:ascii="宋体" w:hAnsi="宋体"/>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ascii="宋体" w:hAnsi="Arial" w:cs="Arial"/>
          <w:sz w:val="28"/>
          <w:szCs w:val="28"/>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ascii="宋体" w:hAnsi="Arial" w:cs="Arial"/>
          <w:sz w:val="28"/>
          <w:szCs w:val="28"/>
        </w:rPr>
      </w:pPr>
    </w:p>
    <w:p>
      <w:pPr>
        <w:spacing w:line="600" w:lineRule="exact"/>
        <w:rPr>
          <w:rFonts w:ascii="宋体" w:hAnsi="Arial" w:cs="Arial"/>
          <w:sz w:val="28"/>
          <w:szCs w:val="28"/>
        </w:rPr>
      </w:pPr>
    </w:p>
    <w:p>
      <w:pPr>
        <w:spacing w:line="600" w:lineRule="exact"/>
        <w:rPr>
          <w:rFonts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ascii="宋体" w:hAnsi="Arial" w:cs="Arial"/>
          <w:sz w:val="44"/>
          <w:szCs w:val="44"/>
        </w:rPr>
      </w:pPr>
      <w:r>
        <w:rPr>
          <w:rFonts w:hint="eastAsia" w:hAnsi="宋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本授权书期限自2019年10月</w:t>
      </w:r>
      <w:r>
        <w:rPr>
          <w:rFonts w:hint="eastAsia" w:ascii="宋体" w:hAnsi="宋体" w:cs="Arial"/>
          <w:sz w:val="24"/>
          <w:u w:val="single"/>
        </w:rPr>
        <w:t xml:space="preserve">    </w:t>
      </w:r>
      <w:r>
        <w:rPr>
          <w:rFonts w:hint="eastAsia" w:ascii="宋体" w:hAnsi="宋体" w:cs="Arial"/>
          <w:sz w:val="24"/>
        </w:rPr>
        <w:t>日起至2019年10月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5"/>
        <w:tblW w:w="836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9"/>
        <w:gridCol w:w="4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9" w:type="dxa"/>
          </w:tcPr>
          <w:p>
            <w:pPr>
              <w:spacing w:line="560" w:lineRule="exact"/>
              <w:rPr>
                <w:rFonts w:ascii="宋体" w:cs="Arial"/>
                <w:sz w:val="24"/>
              </w:rPr>
            </w:pPr>
          </w:p>
          <w:p>
            <w:pPr>
              <w:spacing w:line="560" w:lineRule="exact"/>
              <w:rPr>
                <w:rFonts w:ascii="宋体" w:cs="Arial"/>
                <w:sz w:val="24"/>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spacing w:line="560" w:lineRule="exact"/>
              <w:rPr>
                <w:rFonts w:ascii="宋体" w:cs="Arial"/>
                <w:sz w:val="24"/>
              </w:rPr>
            </w:pPr>
          </w:p>
          <w:p>
            <w:pPr>
              <w:spacing w:line="560" w:lineRule="exact"/>
              <w:rPr>
                <w:rFonts w:ascii="宋体" w:cs="Arial"/>
                <w:sz w:val="24"/>
              </w:rPr>
            </w:pPr>
          </w:p>
        </w:tc>
        <w:tc>
          <w:tcPr>
            <w:tcW w:w="4254" w:type="dxa"/>
          </w:tcPr>
          <w:p>
            <w:pPr>
              <w:spacing w:line="560" w:lineRule="exact"/>
              <w:rPr>
                <w:rFonts w:ascii="宋体" w:cs="Arial"/>
                <w:sz w:val="24"/>
              </w:rPr>
            </w:pPr>
          </w:p>
        </w:tc>
      </w:tr>
    </w:tbl>
    <w:p>
      <w:pPr>
        <w:spacing w:line="560" w:lineRule="exact"/>
        <w:rPr>
          <w:rFonts w:ascii="宋体" w:cs="Arial"/>
          <w:sz w:val="24"/>
        </w:rPr>
      </w:pPr>
    </w:p>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Ansi="宋体"/>
          <w:b/>
          <w:sz w:val="32"/>
          <w:szCs w:val="32"/>
        </w:rPr>
      </w:pPr>
      <w:r>
        <w:rPr>
          <w:rFonts w:hint="eastAsia" w:hAnsi="宋体"/>
          <w:b/>
          <w:sz w:val="32"/>
          <w:szCs w:val="32"/>
        </w:rPr>
        <w:t>投标人基本情况表</w:t>
      </w:r>
    </w:p>
    <w:tbl>
      <w:tblPr>
        <w:tblStyle w:val="14"/>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32"/>
        </w:rPr>
      </w:pPr>
      <w:r>
        <w:rPr>
          <w:rFonts w:hint="eastAsia" w:ascii="Microsoft JhengHei" w:eastAsiaTheme="minorEastAsia"/>
          <w:b/>
          <w:sz w:val="32"/>
        </w:rPr>
        <w:t>单位信用证明</w:t>
      </w:r>
    </w:p>
    <w:p>
      <w:pPr>
        <w:pStyle w:val="7"/>
      </w:pPr>
    </w:p>
    <w:p>
      <w:pPr>
        <w:pStyle w:val="7"/>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7"/>
        <w:spacing w:line="400" w:lineRule="exact"/>
      </w:pPr>
      <w:r>
        <w:rPr>
          <w:rFonts w:hint="eastAsia"/>
        </w:rPr>
        <w:t>1承诺书并加盖公章；</w:t>
      </w:r>
    </w:p>
    <w:p>
      <w:pPr>
        <w:pStyle w:val="7"/>
        <w:spacing w:line="400" w:lineRule="exact"/>
      </w:pPr>
      <w:r>
        <w:rPr>
          <w:rFonts w:hint="eastAsia"/>
        </w:rPr>
        <w:t>2.信用中国网站</w:t>
      </w:r>
      <w:r>
        <w:fldChar w:fldCharType="begin"/>
      </w:r>
      <w:r>
        <w:instrText xml:space="preserve"> HYPERLINK "https://www.creditchina.gov.cn/" </w:instrText>
      </w:r>
      <w:r>
        <w:fldChar w:fldCharType="separate"/>
      </w:r>
      <w:r>
        <w:rPr>
          <w:rStyle w:val="18"/>
        </w:rPr>
        <w:t>https://www.creditchina.gov.cn/</w:t>
      </w:r>
      <w:r>
        <w:rPr>
          <w:rStyle w:val="18"/>
        </w:rPr>
        <w:fldChar w:fldCharType="end"/>
      </w:r>
      <w:r>
        <w:rPr>
          <w:rFonts w:hint="eastAsia"/>
        </w:rPr>
        <w:t>内本单位信用信息内的失信被执行人、重大税收违法案件当事人名单的查询截图。示意如下：</w:t>
      </w:r>
    </w:p>
    <w:p>
      <w:pPr>
        <w:pStyle w:val="7"/>
      </w:pPr>
    </w:p>
    <w:p>
      <w:pPr>
        <w:pStyle w:val="7"/>
      </w:pPr>
    </w:p>
    <w:p>
      <w:pPr>
        <w:pStyle w:val="7"/>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600" w:lineRule="exact"/>
        <w:jc w:val="left"/>
        <w:rPr>
          <w:rFonts w:ascii="宋体" w:hAnsi="Arial" w:cs="Arial"/>
          <w:sz w:val="28"/>
          <w:szCs w:val="28"/>
        </w:rPr>
      </w:pPr>
    </w:p>
    <w:p>
      <w:pPr>
        <w:spacing w:line="600" w:lineRule="exact"/>
        <w:jc w:val="center"/>
        <w:rPr>
          <w:rFonts w:ascii="Microsoft JhengHei" w:eastAsiaTheme="minorEastAsia"/>
          <w:b/>
          <w:sz w:val="44"/>
          <w:szCs w:val="44"/>
        </w:rPr>
      </w:pPr>
      <w:r>
        <w:rPr>
          <w:rFonts w:hint="eastAsia" w:ascii="Microsoft JhengHei" w:eastAsiaTheme="minorEastAsia"/>
          <w:b/>
          <w:sz w:val="44"/>
          <w:szCs w:val="44"/>
          <w:lang w:val="en-US" w:eastAsia="zh-CN"/>
        </w:rPr>
        <w:t>四</w:t>
      </w:r>
      <w:r>
        <w:rPr>
          <w:rFonts w:hint="eastAsia" w:ascii="Microsoft JhengHei" w:eastAsiaTheme="minorEastAsia"/>
          <w:b/>
          <w:sz w:val="44"/>
          <w:szCs w:val="44"/>
        </w:rPr>
        <w:t>、类似业绩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7"/>
        <w:spacing w:before="12"/>
        <w:ind w:left="5250"/>
        <w:rPr>
          <w:sz w:val="14"/>
        </w:rPr>
      </w:pPr>
    </w:p>
    <w:tbl>
      <w:tblPr>
        <w:tblStyle w:val="14"/>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tcPr>
          <w:p>
            <w:pPr>
              <w:pStyle w:val="24"/>
              <w:rPr>
                <w:sz w:val="20"/>
              </w:rPr>
            </w:pPr>
          </w:p>
          <w:p>
            <w:pPr>
              <w:pStyle w:val="24"/>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tcPr>
          <w:p>
            <w:pPr>
              <w:pStyle w:val="24"/>
              <w:spacing w:before="7"/>
              <w:rPr>
                <w:sz w:val="17"/>
              </w:rPr>
            </w:pPr>
          </w:p>
          <w:p>
            <w:pPr>
              <w:pStyle w:val="24"/>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tcPr>
          <w:p>
            <w:pPr>
              <w:pStyle w:val="24"/>
              <w:spacing w:before="11"/>
              <w:rPr>
                <w:sz w:val="17"/>
              </w:rPr>
            </w:pPr>
          </w:p>
          <w:p>
            <w:pPr>
              <w:pStyle w:val="24"/>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tcPr>
          <w:p>
            <w:pPr>
              <w:pStyle w:val="24"/>
              <w:spacing w:before="8"/>
              <w:rPr>
                <w:sz w:val="17"/>
              </w:rPr>
            </w:pPr>
          </w:p>
          <w:p>
            <w:pPr>
              <w:pStyle w:val="24"/>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4"/>
              <w:spacing w:before="12"/>
              <w:rPr>
                <w:sz w:val="17"/>
              </w:rPr>
            </w:pPr>
          </w:p>
          <w:p>
            <w:pPr>
              <w:pStyle w:val="24"/>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tcPr>
          <w:p>
            <w:pPr>
              <w:pStyle w:val="24"/>
              <w:spacing w:before="9"/>
              <w:rPr>
                <w:sz w:val="17"/>
              </w:rPr>
            </w:pPr>
          </w:p>
          <w:p>
            <w:pPr>
              <w:pStyle w:val="24"/>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tcPr>
          <w:p>
            <w:pPr>
              <w:pStyle w:val="24"/>
              <w:spacing w:line="440" w:lineRule="exact"/>
              <w:ind w:left="440" w:right="437" w:firstLine="210"/>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4"/>
              <w:spacing w:before="12"/>
              <w:rPr>
                <w:sz w:val="17"/>
              </w:rPr>
            </w:pPr>
          </w:p>
          <w:p>
            <w:pPr>
              <w:pStyle w:val="24"/>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3080" w:hRule="atLeast"/>
        </w:trPr>
        <w:tc>
          <w:tcPr>
            <w:tcW w:w="2161" w:type="dxa"/>
            <w:tcBorders>
              <w:top w:val="single" w:color="000000" w:sz="6" w:space="0"/>
              <w:bottom w:val="single" w:color="000000" w:sz="6" w:space="0"/>
              <w:right w:val="single" w:color="000000" w:sz="6" w:space="0"/>
            </w:tcBorders>
          </w:tcPr>
          <w:p>
            <w:pPr>
              <w:pStyle w:val="24"/>
              <w:rPr>
                <w:sz w:val="20"/>
              </w:rPr>
            </w:pPr>
          </w:p>
          <w:p>
            <w:pPr>
              <w:pStyle w:val="24"/>
              <w:rPr>
                <w:sz w:val="20"/>
              </w:rPr>
            </w:pPr>
          </w:p>
          <w:p>
            <w:pPr>
              <w:pStyle w:val="24"/>
              <w:rPr>
                <w:sz w:val="20"/>
              </w:rPr>
            </w:pPr>
          </w:p>
          <w:p>
            <w:pPr>
              <w:pStyle w:val="24"/>
              <w:rPr>
                <w:sz w:val="20"/>
              </w:rPr>
            </w:pPr>
          </w:p>
          <w:p>
            <w:pPr>
              <w:pStyle w:val="24"/>
              <w:spacing w:before="12"/>
              <w:rPr>
                <w:sz w:val="16"/>
              </w:rPr>
            </w:pPr>
          </w:p>
          <w:p>
            <w:pPr>
              <w:pStyle w:val="24"/>
              <w:spacing w:line="393" w:lineRule="auto"/>
              <w:ind w:left="440" w:right="122" w:hanging="315"/>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tcPr>
          <w:p>
            <w:pPr>
              <w:pStyle w:val="24"/>
              <w:spacing w:before="6"/>
              <w:rPr>
                <w:sz w:val="17"/>
              </w:rPr>
            </w:pPr>
          </w:p>
          <w:p>
            <w:pPr>
              <w:pStyle w:val="24"/>
              <w:ind w:left="525" w:right="523"/>
              <w:jc w:val="center"/>
              <w:rPr>
                <w:sz w:val="21"/>
              </w:rPr>
            </w:pPr>
            <w:r>
              <w:rPr>
                <w:sz w:val="21"/>
              </w:rPr>
              <w:t>备注</w:t>
            </w:r>
          </w:p>
        </w:tc>
        <w:tc>
          <w:tcPr>
            <w:tcW w:w="6807" w:type="dxa"/>
            <w:tcBorders>
              <w:top w:val="single" w:color="000000" w:sz="6" w:space="0"/>
              <w:left w:val="single" w:color="000000" w:sz="6" w:space="0"/>
            </w:tcBorders>
          </w:tcPr>
          <w:p>
            <w:pPr>
              <w:pStyle w:val="24"/>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7"/>
        <w:spacing w:before="18"/>
        <w:jc w:val="center"/>
        <w:rPr>
          <w:rFonts w:ascii="Microsoft JhengHei"/>
          <w:b/>
          <w:sz w:val="15"/>
        </w:rPr>
      </w:pPr>
      <w:r>
        <w:rPr>
          <w:rFonts w:hint="eastAsia" w:ascii="方正小标宋_GBK" w:eastAsia="方正小标宋_GBK"/>
          <w:sz w:val="36"/>
          <w:szCs w:val="36"/>
          <w:lang w:val="en-US" w:eastAsia="zh-CN"/>
        </w:rPr>
        <w:t>五</w:t>
      </w:r>
      <w:r>
        <w:rPr>
          <w:rFonts w:hint="eastAsia" w:ascii="方正小标宋_GBK" w:eastAsia="方正小标宋_GBK"/>
          <w:sz w:val="36"/>
          <w:szCs w:val="36"/>
        </w:rPr>
        <w:t>、服务承诺书</w:t>
      </w:r>
    </w:p>
    <w:p>
      <w:pPr>
        <w:pStyle w:val="7"/>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2"/>
        <w:spacing w:line="360" w:lineRule="auto"/>
        <w:ind w:left="906" w:firstLine="0"/>
        <w:rPr>
          <w:color w:val="000000"/>
          <w:sz w:val="24"/>
        </w:rPr>
      </w:pPr>
      <w:r>
        <w:rPr>
          <w:rFonts w:hint="eastAsia"/>
          <w:color w:val="000000"/>
          <w:sz w:val="24"/>
        </w:rPr>
        <w:t>一、保证中标后不转包；</w:t>
      </w:r>
    </w:p>
    <w:p>
      <w:pPr>
        <w:pStyle w:val="22"/>
        <w:spacing w:line="360" w:lineRule="auto"/>
        <w:ind w:left="906" w:firstLine="0"/>
        <w:rPr>
          <w:color w:val="000000"/>
          <w:sz w:val="24"/>
        </w:rPr>
      </w:pPr>
      <w:r>
        <w:rPr>
          <w:rFonts w:hint="eastAsia"/>
          <w:color w:val="000000"/>
          <w:sz w:val="24"/>
        </w:rPr>
        <w:t>二、保证中标后，按照招标文件要求提供合格产品，严把质量关；</w:t>
      </w:r>
    </w:p>
    <w:p>
      <w:pPr>
        <w:pStyle w:val="22"/>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2"/>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投标单位盖章</w:t>
      </w:r>
    </w:p>
    <w:p>
      <w:pPr>
        <w:spacing w:before="480" w:beforeLines="200" w:after="120" w:afterLines="50" w:line="260" w:lineRule="exact"/>
        <w:rPr>
          <w:rFonts w:ascii="宋体" w:hAnsi="Arial" w:cs="Arial"/>
          <w:sz w:val="24"/>
        </w:rPr>
      </w:pPr>
      <w:r>
        <w:rPr>
          <w:rFonts w:hint="eastAsia" w:ascii="宋体" w:hAnsi="Arial" w:cs="Arial"/>
          <w:sz w:val="24"/>
        </w:rPr>
        <w:t xml:space="preserve">   投标人代表签字：</w:t>
      </w:r>
    </w:p>
    <w:p>
      <w:pPr>
        <w:spacing w:before="480" w:beforeLines="200" w:after="120" w:afterLines="50" w:line="260" w:lineRule="exact"/>
        <w:rPr>
          <w:rFonts w:ascii="宋体" w:hAnsi="Arial" w:cs="Arial"/>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年   月   日</w:t>
      </w:r>
    </w:p>
    <w:p>
      <w:pPr>
        <w:spacing w:line="600" w:lineRule="exact"/>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spacing w:line="360" w:lineRule="auto"/>
        <w:jc w:val="center"/>
        <w:rPr>
          <w:b/>
          <w:sz w:val="32"/>
          <w:szCs w:val="32"/>
        </w:rPr>
      </w:pPr>
      <w:r>
        <w:rPr>
          <w:rFonts w:hint="eastAsia" w:hAnsi="宋体"/>
          <w:b/>
          <w:sz w:val="32"/>
          <w:szCs w:val="32"/>
        </w:rPr>
        <w:t>湖南省湘澧盐化有限责任公司</w:t>
      </w:r>
    </w:p>
    <w:p>
      <w:pPr>
        <w:spacing w:line="360" w:lineRule="auto"/>
        <w:jc w:val="center"/>
        <w:rPr>
          <w:b/>
          <w:sz w:val="30"/>
          <w:szCs w:val="30"/>
        </w:rPr>
      </w:pPr>
      <w:r>
        <w:rPr>
          <w:rFonts w:hint="eastAsia"/>
          <w:sz w:val="30"/>
          <w:szCs w:val="30"/>
          <w:lang w:val="en-US" w:eastAsia="zh-CN"/>
        </w:rPr>
        <w:t>生态盐分级分筛车间建设项目—小包二期除尘系统升级改造</w:t>
      </w:r>
    </w:p>
    <w:p>
      <w:pPr>
        <w:jc w:val="center"/>
        <w:rPr>
          <w:rFonts w:hint="eastAsia" w:ascii="黑体" w:hAnsi="黑体" w:eastAsia="黑体" w:cs="黑体"/>
          <w:b/>
          <w:sz w:val="30"/>
          <w:szCs w:val="30"/>
        </w:rPr>
      </w:pPr>
    </w:p>
    <w:p>
      <w:pPr>
        <w:jc w:val="center"/>
        <w:rPr>
          <w:rFonts w:hint="eastAsia" w:ascii="黑体" w:hAnsi="黑体" w:eastAsia="黑体" w:cs="黑体"/>
          <w:b/>
          <w:sz w:val="44"/>
          <w:szCs w:val="44"/>
        </w:rPr>
      </w:pPr>
      <w:r>
        <w:rPr>
          <w:rFonts w:hint="eastAsia" w:ascii="黑体" w:hAnsi="黑体" w:eastAsia="黑体" w:cs="黑体"/>
          <w:b/>
          <w:sz w:val="44"/>
          <w:szCs w:val="44"/>
        </w:rPr>
        <w:t>技术规范书</w:t>
      </w:r>
    </w:p>
    <w:p>
      <w:pPr>
        <w:jc w:val="center"/>
        <w:rPr>
          <w:rFonts w:hint="eastAsia" w:ascii="黑体" w:hAnsi="黑体" w:eastAsia="黑体" w:cs="黑体"/>
          <w:b/>
          <w:sz w:val="44"/>
          <w:szCs w:val="44"/>
        </w:rPr>
      </w:pPr>
    </w:p>
    <w:p>
      <w:pPr>
        <w:numPr>
          <w:ilvl w:val="0"/>
          <w:numId w:val="3"/>
        </w:numPr>
        <w:spacing w:before="120" w:beforeLines="50" w:after="120" w:afterLines="50" w:line="360" w:lineRule="auto"/>
        <w:rPr>
          <w:rFonts w:hint="eastAsia" w:ascii="宋体" w:hAnsi="宋体" w:eastAsia="宋体" w:cs="宋体"/>
          <w:b/>
          <w:bCs/>
          <w:kern w:val="0"/>
          <w:sz w:val="24"/>
          <w:szCs w:val="24"/>
        </w:rPr>
      </w:pPr>
      <w:r>
        <w:rPr>
          <w:rFonts w:hint="eastAsia" w:ascii="宋体" w:hAnsi="宋体" w:eastAsia="宋体" w:cs="宋体"/>
          <w:b/>
          <w:bCs/>
          <w:kern w:val="0"/>
          <w:sz w:val="24"/>
          <w:szCs w:val="24"/>
          <w:lang w:eastAsia="ja-JP"/>
        </w:rPr>
        <w:t>总则</w:t>
      </w:r>
    </w:p>
    <w:p>
      <w:pPr>
        <w:spacing w:before="120" w:beforeLines="50" w:after="120" w:afterLines="50" w:line="360" w:lineRule="auto"/>
        <w:rPr>
          <w:rFonts w:hint="eastAsia" w:ascii="宋体" w:hAnsi="宋体" w:eastAsia="宋体" w:cs="宋体"/>
          <w:sz w:val="24"/>
          <w:szCs w:val="24"/>
        </w:rPr>
      </w:pPr>
      <w:r>
        <w:rPr>
          <w:rFonts w:hint="eastAsia" w:ascii="宋体" w:hAnsi="宋体" w:eastAsia="宋体" w:cs="宋体"/>
          <w:bCs/>
          <w:kern w:val="0"/>
          <w:sz w:val="24"/>
          <w:szCs w:val="24"/>
        </w:rPr>
        <w:t>1.1本技术规范适用于</w:t>
      </w:r>
      <w:r>
        <w:rPr>
          <w:rFonts w:hint="eastAsia" w:ascii="宋体" w:hAnsi="宋体" w:eastAsia="宋体" w:cs="宋体"/>
          <w:sz w:val="24"/>
          <w:szCs w:val="24"/>
        </w:rPr>
        <w:t>湖南省湘澧盐化有限责任</w:t>
      </w:r>
      <w:r>
        <w:rPr>
          <w:rFonts w:hint="eastAsia"/>
          <w:sz w:val="24"/>
          <w:lang w:val="en-US" w:eastAsia="zh-CN"/>
        </w:rPr>
        <w:t>生态盐分级分筛车间建设项目—</w:t>
      </w:r>
      <w:r>
        <w:rPr>
          <w:rFonts w:hint="eastAsia"/>
          <w:sz w:val="24"/>
          <w:szCs w:val="24"/>
          <w:lang w:val="en-US" w:eastAsia="zh-CN"/>
        </w:rPr>
        <w:t>小包二期除尘系统升级改造</w:t>
      </w:r>
      <w:r>
        <w:rPr>
          <w:rFonts w:hint="eastAsia" w:ascii="宋体" w:hAnsi="宋体" w:eastAsia="宋体" w:cs="宋体"/>
          <w:sz w:val="24"/>
          <w:szCs w:val="24"/>
        </w:rPr>
        <w:t>。它提出了对除尘系统设备、配套收尘管道系统、配套电气及自动控制系统以及安装施工、试验、验收的技术规范。该工程属于包工包料的交钥匙工程。</w:t>
      </w:r>
    </w:p>
    <w:p>
      <w:pPr>
        <w:spacing w:after="120" w:afterLines="50" w:line="360" w:lineRule="auto"/>
        <w:rPr>
          <w:rFonts w:hint="eastAsia" w:ascii="宋体" w:hAnsi="宋体" w:eastAsia="宋体" w:cs="宋体"/>
          <w:sz w:val="24"/>
          <w:szCs w:val="24"/>
        </w:rPr>
      </w:pPr>
      <w:r>
        <w:rPr>
          <w:rFonts w:hint="eastAsia" w:ascii="宋体" w:hAnsi="宋体" w:eastAsia="宋体" w:cs="宋体"/>
          <w:sz w:val="24"/>
          <w:szCs w:val="24"/>
        </w:rPr>
        <w:t>1.2本规格书提出的是最低限度的技术要求，并未对一切技术细节作出规定，也未充分引述有关标准和规范的条文。</w:t>
      </w:r>
    </w:p>
    <w:p>
      <w:pPr>
        <w:spacing w:after="120" w:afterLines="50" w:line="360" w:lineRule="auto"/>
        <w:rPr>
          <w:rFonts w:hint="eastAsia" w:ascii="宋体" w:hAnsi="宋体" w:eastAsia="宋体" w:cs="宋体"/>
          <w:sz w:val="24"/>
          <w:szCs w:val="24"/>
        </w:rPr>
      </w:pPr>
      <w:r>
        <w:rPr>
          <w:rFonts w:hint="eastAsia" w:ascii="宋体" w:hAnsi="宋体" w:eastAsia="宋体" w:cs="宋体"/>
          <w:sz w:val="24"/>
          <w:szCs w:val="24"/>
        </w:rPr>
        <w:t>1.3如果投标人没有以书面形式对本规格书的条文提出异议，则意味着投标人提供的设备完全符合本规格书的要求。如有异议，不管多么微小，都应在报价书中以偏差表加以详细描述。</w:t>
      </w:r>
    </w:p>
    <w:p>
      <w:pPr>
        <w:spacing w:after="120" w:afterLines="50" w:line="360" w:lineRule="auto"/>
        <w:rPr>
          <w:rFonts w:hint="eastAsia" w:ascii="宋体" w:hAnsi="宋体" w:eastAsia="宋体" w:cs="宋体"/>
          <w:sz w:val="24"/>
          <w:szCs w:val="24"/>
        </w:rPr>
      </w:pPr>
      <w:r>
        <w:rPr>
          <w:rFonts w:hint="eastAsia" w:ascii="宋体" w:hAnsi="宋体" w:eastAsia="宋体" w:cs="宋体"/>
          <w:sz w:val="24"/>
          <w:szCs w:val="24"/>
        </w:rPr>
        <w:t>1.4投标人应按照招标人的全部文件、设计图纸及双方协商一致同意的条件来进行设备选用、管道安装施工、试验、验收，并应对其质量和性能承担全部责任。投标人应遵守本附件条款，不得随意更改。</w:t>
      </w:r>
    </w:p>
    <w:p>
      <w:pPr>
        <w:spacing w:after="120" w:afterLines="50" w:line="360" w:lineRule="auto"/>
        <w:rPr>
          <w:rFonts w:hint="eastAsia" w:ascii="宋体" w:hAnsi="宋体" w:eastAsia="宋体" w:cs="宋体"/>
          <w:sz w:val="24"/>
          <w:szCs w:val="24"/>
        </w:rPr>
      </w:pPr>
      <w:r>
        <w:rPr>
          <w:rFonts w:hint="eastAsia" w:ascii="宋体" w:hAnsi="宋体" w:eastAsia="宋体" w:cs="宋体"/>
          <w:sz w:val="24"/>
          <w:szCs w:val="24"/>
        </w:rPr>
        <w:t>1.5签订合同之后，招标方有权提出因规范标准和规程发生变化而产生的补充要求，具体项目由招标方与投标方共同商定。</w:t>
      </w:r>
    </w:p>
    <w:p>
      <w:pPr>
        <w:spacing w:before="120" w:beforeLines="50" w:after="120" w:afterLines="50" w:line="360" w:lineRule="auto"/>
        <w:rPr>
          <w:rFonts w:hint="eastAsia" w:ascii="宋体" w:hAnsi="宋体" w:eastAsia="宋体" w:cs="宋体"/>
          <w:b/>
          <w:bCs/>
          <w:sz w:val="24"/>
          <w:szCs w:val="24"/>
        </w:rPr>
      </w:pPr>
      <w:bookmarkStart w:id="1" w:name="_Toc270430085"/>
      <w:bookmarkStart w:id="2" w:name="_Toc174846722"/>
      <w:bookmarkStart w:id="3" w:name="_Toc132532508"/>
      <w:r>
        <w:rPr>
          <w:rFonts w:hint="eastAsia" w:ascii="宋体" w:hAnsi="宋体" w:eastAsia="宋体" w:cs="宋体"/>
          <w:b/>
          <w:bCs/>
          <w:sz w:val="24"/>
          <w:szCs w:val="24"/>
        </w:rPr>
        <w:t>2. 标准和规范</w:t>
      </w:r>
      <w:bookmarkEnd w:id="1"/>
      <w:bookmarkEnd w:id="2"/>
      <w:bookmarkStart w:id="4" w:name="_Toc178417388"/>
      <w:bookmarkStart w:id="5" w:name="_Toc270430086"/>
    </w:p>
    <w:bookmarkEnd w:id="3"/>
    <w:bookmarkEnd w:id="4"/>
    <w:bookmarkEnd w:id="5"/>
    <w:p>
      <w:pPr>
        <w:spacing w:after="120" w:afterLines="50" w:line="360" w:lineRule="auto"/>
        <w:rPr>
          <w:rFonts w:hint="eastAsia" w:ascii="宋体" w:hAnsi="宋体" w:eastAsia="宋体" w:cs="宋体"/>
          <w:sz w:val="24"/>
          <w:szCs w:val="24"/>
        </w:rPr>
      </w:pPr>
      <w:r>
        <w:rPr>
          <w:rFonts w:hint="eastAsia" w:ascii="宋体" w:hAnsi="宋体" w:eastAsia="宋体" w:cs="宋体"/>
          <w:bCs/>
          <w:sz w:val="24"/>
          <w:szCs w:val="24"/>
        </w:rPr>
        <w:t>2.1</w:t>
      </w:r>
      <w:r>
        <w:rPr>
          <w:rFonts w:hint="eastAsia" w:ascii="宋体" w:hAnsi="宋体" w:eastAsia="宋体" w:cs="宋体"/>
          <w:sz w:val="24"/>
          <w:szCs w:val="24"/>
        </w:rPr>
        <w:t>其采购的设备、管道安装施工、试验、验收等应符合国家标准和规范以及有关的法规要求。上述标准均应为招标截止日时的最新有效版本。</w:t>
      </w:r>
    </w:p>
    <w:p>
      <w:pPr>
        <w:spacing w:after="120" w:afterLines="50" w:line="360" w:lineRule="auto"/>
        <w:rPr>
          <w:rFonts w:hint="eastAsia" w:ascii="宋体" w:hAnsi="宋体" w:eastAsia="宋体" w:cs="宋体"/>
          <w:sz w:val="24"/>
          <w:szCs w:val="24"/>
        </w:rPr>
      </w:pPr>
      <w:r>
        <w:rPr>
          <w:rFonts w:hint="eastAsia" w:ascii="宋体" w:hAnsi="宋体" w:eastAsia="宋体" w:cs="宋体"/>
          <w:sz w:val="24"/>
          <w:szCs w:val="24"/>
        </w:rPr>
        <w:t>2.2原则上，投标人必须使用设计、材料、制造、检验、试验等符合规定的标准和规范以及有关的法规要求。当与规定的标准和规范或法规要求有偏离时，投标人应及时将偏离内容提交招标人确认。如招标人同意，则应签署备忘录，并纳入合同。</w:t>
      </w:r>
    </w:p>
    <w:p>
      <w:pPr>
        <w:spacing w:after="120" w:afterLines="50" w:line="360" w:lineRule="auto"/>
        <w:rPr>
          <w:rFonts w:hint="eastAsia" w:ascii="宋体" w:hAnsi="宋体" w:eastAsia="宋体" w:cs="宋体"/>
          <w:sz w:val="24"/>
          <w:szCs w:val="24"/>
        </w:rPr>
      </w:pPr>
      <w:r>
        <w:rPr>
          <w:rFonts w:hint="eastAsia" w:ascii="宋体" w:hAnsi="宋体" w:eastAsia="宋体" w:cs="宋体"/>
          <w:sz w:val="24"/>
          <w:szCs w:val="24"/>
        </w:rPr>
        <w:t>2.3下列标准和规范在</w:t>
      </w:r>
      <w:bookmarkStart w:id="6" w:name="OLE_LINK2"/>
      <w:r>
        <w:rPr>
          <w:rFonts w:hint="eastAsia" w:ascii="宋体" w:hAnsi="宋体" w:eastAsia="宋体" w:cs="宋体"/>
          <w:sz w:val="24"/>
          <w:szCs w:val="24"/>
        </w:rPr>
        <w:t>合同生效日</w:t>
      </w:r>
      <w:bookmarkEnd w:id="6"/>
      <w:r>
        <w:rPr>
          <w:rFonts w:hint="eastAsia" w:ascii="宋体" w:hAnsi="宋体" w:eastAsia="宋体" w:cs="宋体"/>
          <w:sz w:val="24"/>
          <w:szCs w:val="24"/>
        </w:rPr>
        <w:t>的最新版应构成本规定的一部分。</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《除尘装置系统及设备设计选用手册》</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《洁净厂房设计规范》  GB50073-2013</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《食品安全国家标准  食品生产通用卫生规范》  GB14881-2013</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《通风与空调工程施工质量验收规范》  GB50243-2002</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《采暖通风设计手册》</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《工业管道工程施工及验收规范》  （GBJ235-82）</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《除尘设备选用与安装》  07K104</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《室内管道支吊架》  05R417-1</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《金属、非金属风管支吊架》08K132</w:t>
      </w:r>
    </w:p>
    <w:p>
      <w:pPr>
        <w:spacing w:after="120" w:afterLines="50"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《工作场所有害因素职业接触限值 第一部分：化学有害因素》  GBZ2.1-2007</w:t>
      </w:r>
    </w:p>
    <w:p>
      <w:pPr>
        <w:spacing w:after="120" w:afterLines="50"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业主的要求和其他专业提供的设计资料</w:t>
      </w:r>
    </w:p>
    <w:p>
      <w:pPr>
        <w:spacing w:before="120" w:beforeLines="50" w:after="120" w:afterLines="50" w:line="360" w:lineRule="auto"/>
        <w:rPr>
          <w:rFonts w:hint="eastAsia" w:ascii="宋体" w:hAnsi="宋体" w:eastAsia="宋体" w:cs="宋体"/>
          <w:b/>
          <w:bCs/>
          <w:sz w:val="24"/>
          <w:szCs w:val="24"/>
        </w:rPr>
      </w:pPr>
      <w:bookmarkStart w:id="7" w:name="_Toc270430087"/>
      <w:r>
        <w:rPr>
          <w:rFonts w:hint="eastAsia" w:ascii="宋体" w:hAnsi="宋体" w:eastAsia="宋体" w:cs="宋体"/>
          <w:b/>
          <w:bCs/>
          <w:sz w:val="24"/>
          <w:szCs w:val="24"/>
        </w:rPr>
        <w:t>3. 设计基础</w:t>
      </w:r>
    </w:p>
    <w:p>
      <w:pPr>
        <w:spacing w:after="120" w:afterLines="50" w:line="360" w:lineRule="auto"/>
        <w:rPr>
          <w:rFonts w:hint="eastAsia" w:ascii="宋体" w:hAnsi="宋体" w:eastAsia="宋体" w:cs="宋体"/>
          <w:bCs/>
          <w:sz w:val="24"/>
          <w:szCs w:val="24"/>
        </w:rPr>
      </w:pPr>
      <w:r>
        <w:rPr>
          <w:rFonts w:hint="eastAsia" w:ascii="宋体" w:hAnsi="宋体" w:eastAsia="宋体" w:cs="宋体"/>
          <w:bCs/>
          <w:sz w:val="24"/>
          <w:szCs w:val="24"/>
        </w:rPr>
        <w:t>3.1气象条件</w:t>
      </w:r>
    </w:p>
    <w:bookmarkEnd w:id="7"/>
    <w:p>
      <w:pPr>
        <w:spacing w:after="120" w:afterLines="50" w:line="360" w:lineRule="auto"/>
        <w:ind w:left="424" w:leftChars="202" w:firstLine="240" w:firstLineChars="100"/>
        <w:rPr>
          <w:rFonts w:hint="eastAsia" w:ascii="宋体" w:hAnsi="宋体" w:eastAsia="宋体" w:cs="宋体"/>
          <w:sz w:val="24"/>
          <w:szCs w:val="24"/>
        </w:rPr>
      </w:pPr>
      <w:bookmarkStart w:id="8" w:name="_Toc381464276"/>
      <w:bookmarkStart w:id="9" w:name="_Toc314229541"/>
      <w:bookmarkStart w:id="10" w:name="_Toc245724958"/>
      <w:bookmarkStart w:id="11" w:name="_Toc224442943"/>
      <w:bookmarkStart w:id="12" w:name="_Toc223800701"/>
      <w:r>
        <w:rPr>
          <w:rFonts w:hint="eastAsia" w:ascii="宋体" w:hAnsi="宋体" w:eastAsia="宋体" w:cs="宋体"/>
          <w:sz w:val="24"/>
          <w:szCs w:val="24"/>
        </w:rPr>
        <w:t>湘澧盐化有限责任公司所在区域属中亚热带季风湿润气候区，具有热量丰富，无霜期长，光照充足，雨量充沛，气温垂直差异明显，气候要素时空分布不均等特点。</w:t>
      </w:r>
    </w:p>
    <w:p>
      <w:pPr>
        <w:spacing w:after="120" w:afterLines="50" w:line="360" w:lineRule="auto"/>
        <w:ind w:left="425" w:firstLine="555"/>
        <w:rPr>
          <w:rFonts w:hint="eastAsia" w:ascii="宋体" w:hAnsi="宋体" w:eastAsia="宋体" w:cs="宋体"/>
          <w:sz w:val="24"/>
          <w:szCs w:val="24"/>
        </w:rPr>
      </w:pPr>
      <w:r>
        <w:rPr>
          <w:rFonts w:hint="eastAsia" w:ascii="宋体" w:hAnsi="宋体" w:eastAsia="宋体" w:cs="宋体"/>
          <w:sz w:val="24"/>
          <w:szCs w:val="24"/>
        </w:rPr>
        <w:t>夏季通风室外计算温度：                  31.9℃</w:t>
      </w:r>
    </w:p>
    <w:p>
      <w:pPr>
        <w:spacing w:after="120" w:afterLines="50" w:line="360" w:lineRule="auto"/>
        <w:ind w:left="425" w:firstLine="555"/>
        <w:rPr>
          <w:rFonts w:hint="eastAsia" w:ascii="宋体" w:hAnsi="宋体" w:eastAsia="宋体" w:cs="宋体"/>
          <w:sz w:val="24"/>
          <w:szCs w:val="24"/>
        </w:rPr>
      </w:pPr>
      <w:r>
        <w:rPr>
          <w:rFonts w:hint="eastAsia" w:ascii="宋体" w:hAnsi="宋体" w:eastAsia="宋体" w:cs="宋体"/>
          <w:sz w:val="24"/>
          <w:szCs w:val="24"/>
        </w:rPr>
        <w:t>夏季室外平均风速                        1.9m/s</w:t>
      </w:r>
    </w:p>
    <w:p>
      <w:pPr>
        <w:spacing w:after="120" w:afterLines="50" w:line="360" w:lineRule="auto"/>
        <w:ind w:left="425" w:firstLine="555"/>
        <w:rPr>
          <w:rFonts w:hint="eastAsia" w:ascii="宋体" w:hAnsi="宋体" w:eastAsia="宋体" w:cs="宋体"/>
          <w:sz w:val="24"/>
          <w:szCs w:val="24"/>
        </w:rPr>
      </w:pPr>
      <w:r>
        <w:rPr>
          <w:rFonts w:hint="eastAsia" w:ascii="宋体" w:hAnsi="宋体" w:eastAsia="宋体" w:cs="宋体"/>
          <w:sz w:val="24"/>
          <w:szCs w:val="24"/>
        </w:rPr>
        <w:t>夏季室外大气压力：                      1000.8hpa</w:t>
      </w:r>
    </w:p>
    <w:p>
      <w:pPr>
        <w:spacing w:after="120" w:afterLines="50" w:line="360" w:lineRule="auto"/>
        <w:ind w:left="425" w:firstLine="555"/>
        <w:rPr>
          <w:rFonts w:hint="eastAsia" w:ascii="宋体" w:hAnsi="宋体" w:eastAsia="宋体" w:cs="宋体"/>
          <w:sz w:val="24"/>
          <w:szCs w:val="24"/>
        </w:rPr>
      </w:pPr>
      <w:r>
        <w:rPr>
          <w:rFonts w:hint="eastAsia" w:ascii="宋体" w:hAnsi="宋体" w:eastAsia="宋体" w:cs="宋体"/>
          <w:sz w:val="24"/>
          <w:szCs w:val="24"/>
        </w:rPr>
        <w:t>冬季通风室外计算温度：                  4.7℃</w:t>
      </w:r>
    </w:p>
    <w:p>
      <w:pPr>
        <w:spacing w:after="120" w:afterLines="50" w:line="360" w:lineRule="auto"/>
        <w:ind w:left="425" w:firstLine="555"/>
        <w:rPr>
          <w:rFonts w:hint="eastAsia" w:ascii="宋体" w:hAnsi="宋体" w:eastAsia="宋体" w:cs="宋体"/>
          <w:sz w:val="24"/>
          <w:szCs w:val="24"/>
        </w:rPr>
      </w:pPr>
      <w:r>
        <w:rPr>
          <w:rFonts w:hint="eastAsia" w:ascii="宋体" w:hAnsi="宋体" w:eastAsia="宋体" w:cs="宋体"/>
          <w:sz w:val="24"/>
          <w:szCs w:val="24"/>
        </w:rPr>
        <w:t>冬季室外平均风速                        1.6m/s</w:t>
      </w:r>
    </w:p>
    <w:p>
      <w:pPr>
        <w:spacing w:after="120" w:afterLines="50" w:line="360" w:lineRule="auto"/>
        <w:ind w:left="425" w:firstLine="555"/>
        <w:rPr>
          <w:rFonts w:hint="eastAsia" w:ascii="宋体" w:hAnsi="宋体" w:eastAsia="宋体" w:cs="宋体"/>
          <w:sz w:val="24"/>
          <w:szCs w:val="24"/>
        </w:rPr>
      </w:pPr>
      <w:r>
        <w:rPr>
          <w:rFonts w:hint="eastAsia" w:ascii="宋体" w:hAnsi="宋体" w:eastAsia="宋体" w:cs="宋体"/>
          <w:sz w:val="24"/>
          <w:szCs w:val="24"/>
        </w:rPr>
        <w:t>冬季室外大气压力：                      1022.3hpa</w:t>
      </w:r>
    </w:p>
    <w:p>
      <w:pPr>
        <w:spacing w:after="120" w:afterLines="50" w:line="360" w:lineRule="auto"/>
        <w:ind w:left="425" w:firstLine="555"/>
        <w:rPr>
          <w:rFonts w:hint="eastAsia" w:ascii="宋体" w:hAnsi="宋体" w:eastAsia="宋体" w:cs="宋体"/>
          <w:sz w:val="24"/>
          <w:szCs w:val="24"/>
        </w:rPr>
      </w:pPr>
      <w:r>
        <w:rPr>
          <w:rFonts w:hint="eastAsia" w:ascii="宋体" w:hAnsi="宋体" w:eastAsia="宋体" w:cs="宋体"/>
          <w:sz w:val="24"/>
          <w:szCs w:val="24"/>
        </w:rPr>
        <w:t>安装位置：湖南省湘澧盐化有限责任公司厂区内。</w:t>
      </w:r>
    </w:p>
    <w:p>
      <w:pPr>
        <w:spacing w:after="120" w:afterLines="50" w:line="360" w:lineRule="auto"/>
        <w:ind w:left="425" w:firstLine="555"/>
        <w:rPr>
          <w:rFonts w:hint="eastAsia" w:ascii="宋体" w:hAnsi="宋体" w:eastAsia="宋体" w:cs="宋体"/>
          <w:sz w:val="24"/>
          <w:szCs w:val="24"/>
        </w:rPr>
      </w:pPr>
      <w:r>
        <w:rPr>
          <w:rFonts w:hint="eastAsia" w:ascii="宋体" w:hAnsi="宋体" w:eastAsia="宋体" w:cs="宋体"/>
          <w:sz w:val="24"/>
          <w:szCs w:val="24"/>
        </w:rPr>
        <w:t>运行方式：连续运行</w:t>
      </w:r>
    </w:p>
    <w:p>
      <w:pPr>
        <w:spacing w:after="120" w:afterLines="50" w:line="360" w:lineRule="auto"/>
        <w:rPr>
          <w:rFonts w:hint="eastAsia" w:ascii="宋体" w:hAnsi="宋体" w:eastAsia="宋体" w:cs="宋体"/>
          <w:kern w:val="0"/>
          <w:sz w:val="24"/>
          <w:szCs w:val="24"/>
        </w:rPr>
      </w:pPr>
      <w:r>
        <w:rPr>
          <w:rFonts w:hint="eastAsia" w:ascii="宋体" w:hAnsi="宋体" w:eastAsia="宋体" w:cs="宋体"/>
          <w:kern w:val="0"/>
          <w:sz w:val="24"/>
          <w:szCs w:val="24"/>
        </w:rPr>
        <w:t>3.2共用设施</w:t>
      </w:r>
      <w:bookmarkEnd w:id="8"/>
      <w:bookmarkEnd w:id="9"/>
      <w:bookmarkEnd w:id="10"/>
      <w:bookmarkEnd w:id="11"/>
      <w:bookmarkEnd w:id="12"/>
      <w:r>
        <w:rPr>
          <w:rFonts w:hint="eastAsia" w:ascii="宋体" w:hAnsi="宋体" w:eastAsia="宋体" w:cs="宋体"/>
          <w:kern w:val="0"/>
          <w:sz w:val="24"/>
          <w:szCs w:val="24"/>
        </w:rPr>
        <w:t>：</w:t>
      </w:r>
    </w:p>
    <w:p>
      <w:pPr>
        <w:spacing w:after="120" w:afterLines="50" w:line="360" w:lineRule="auto"/>
        <w:rPr>
          <w:rFonts w:hint="eastAsia" w:ascii="宋体" w:hAnsi="宋体" w:eastAsia="宋体" w:cs="宋体"/>
          <w:sz w:val="24"/>
          <w:szCs w:val="24"/>
        </w:rPr>
      </w:pPr>
      <w:r>
        <w:rPr>
          <w:rFonts w:hint="eastAsia" w:ascii="宋体" w:hAnsi="宋体" w:eastAsia="宋体" w:cs="宋体"/>
          <w:sz w:val="24"/>
          <w:szCs w:val="24"/>
        </w:rPr>
        <w:t>3.2.1动力电源：AC 220V/380V，50Hz，三相五线制</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电压波动：±5%</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频率波动：</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接地电阻：&lt;1Ω</w:t>
      </w:r>
      <w:bookmarkStart w:id="13" w:name="_Toc245724959"/>
      <w:bookmarkStart w:id="14" w:name="_Toc197767767"/>
      <w:bookmarkStart w:id="15" w:name="_Toc177265130"/>
      <w:bookmarkStart w:id="16" w:name="_Toc211754695"/>
      <w:bookmarkStart w:id="17" w:name="_Toc197771856"/>
      <w:bookmarkStart w:id="18" w:name="_Toc314229542"/>
      <w:bookmarkStart w:id="19" w:name="_Toc193802032"/>
      <w:bookmarkStart w:id="20" w:name="_Toc381464277"/>
      <w:bookmarkStart w:id="21" w:name="_Toc223800702"/>
      <w:bookmarkStart w:id="22" w:name="_Toc193801179"/>
      <w:bookmarkStart w:id="23" w:name="_Toc224442944"/>
      <w:bookmarkStart w:id="24" w:name="_Toc213730166"/>
    </w:p>
    <w:p>
      <w:pPr>
        <w:spacing w:after="120" w:afterLines="50" w:line="360" w:lineRule="auto"/>
        <w:rPr>
          <w:rFonts w:hint="eastAsia" w:ascii="宋体" w:hAnsi="宋体" w:eastAsia="宋体" w:cs="宋体"/>
          <w:b/>
          <w:bCs/>
          <w:sz w:val="24"/>
          <w:szCs w:val="24"/>
        </w:rPr>
      </w:pPr>
      <w:r>
        <w:rPr>
          <w:rFonts w:hint="eastAsia" w:ascii="宋体" w:hAnsi="宋体" w:eastAsia="宋体" w:cs="宋体"/>
          <w:kern w:val="0"/>
          <w:sz w:val="24"/>
          <w:szCs w:val="24"/>
        </w:rPr>
        <w:t>3.2.2</w:t>
      </w:r>
      <w:bookmarkEnd w:id="13"/>
      <w:bookmarkEnd w:id="14"/>
      <w:bookmarkEnd w:id="15"/>
      <w:bookmarkEnd w:id="16"/>
      <w:bookmarkEnd w:id="17"/>
      <w:bookmarkEnd w:id="18"/>
      <w:bookmarkEnd w:id="19"/>
      <w:bookmarkEnd w:id="20"/>
      <w:bookmarkEnd w:id="21"/>
      <w:bookmarkEnd w:id="22"/>
      <w:bookmarkEnd w:id="23"/>
      <w:bookmarkEnd w:id="24"/>
      <w:r>
        <w:rPr>
          <w:rFonts w:hint="eastAsia" w:ascii="宋体" w:hAnsi="宋体" w:eastAsia="宋体" w:cs="宋体"/>
          <w:kern w:val="0"/>
          <w:sz w:val="24"/>
          <w:szCs w:val="24"/>
        </w:rPr>
        <w:t>系统供水：</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供给压力</w:t>
      </w:r>
      <w:r>
        <w:rPr>
          <w:rFonts w:hint="eastAsia" w:ascii="宋体" w:hAnsi="宋体" w:eastAsia="宋体" w:cs="宋体"/>
          <w:color w:val="auto"/>
          <w:sz w:val="24"/>
          <w:szCs w:val="24"/>
        </w:rPr>
        <w:t>：0.1MPa－0.3MPa（G）</w:t>
      </w:r>
    </w:p>
    <w:p>
      <w:pPr>
        <w:spacing w:after="120" w:afterLines="50" w:line="360" w:lineRule="auto"/>
        <w:ind w:left="425"/>
        <w:rPr>
          <w:rFonts w:hint="eastAsia" w:ascii="宋体" w:hAnsi="宋体" w:eastAsia="宋体" w:cs="宋体"/>
          <w:sz w:val="24"/>
          <w:szCs w:val="24"/>
        </w:rPr>
      </w:pPr>
      <w:r>
        <w:rPr>
          <w:rFonts w:hint="eastAsia" w:ascii="宋体" w:hAnsi="宋体" w:eastAsia="宋体" w:cs="宋体"/>
          <w:sz w:val="24"/>
          <w:szCs w:val="24"/>
        </w:rPr>
        <w:t>供给</w:t>
      </w:r>
      <w:bookmarkStart w:id="25" w:name="_Toc132532513"/>
      <w:bookmarkStart w:id="26" w:name="_Toc121882759"/>
      <w:bookmarkStart w:id="27" w:name="_Toc270430091"/>
      <w:r>
        <w:rPr>
          <w:rFonts w:hint="eastAsia" w:ascii="宋体" w:hAnsi="宋体" w:eastAsia="宋体" w:cs="宋体"/>
          <w:sz w:val="24"/>
          <w:szCs w:val="24"/>
        </w:rPr>
        <w:t>供水流量：</w:t>
      </w:r>
    </w:p>
    <w:bookmarkEnd w:id="25"/>
    <w:bookmarkEnd w:id="26"/>
    <w:bookmarkEnd w:id="27"/>
    <w:p>
      <w:pPr>
        <w:spacing w:after="120" w:afterLines="50" w:line="360" w:lineRule="auto"/>
        <w:rPr>
          <w:rFonts w:hint="eastAsia" w:ascii="宋体" w:hAnsi="宋体" w:eastAsia="宋体" w:cs="宋体"/>
          <w:kern w:val="0"/>
          <w:sz w:val="24"/>
          <w:szCs w:val="24"/>
        </w:rPr>
      </w:pPr>
      <w:r>
        <w:rPr>
          <w:rFonts w:hint="eastAsia" w:ascii="宋体" w:hAnsi="宋体" w:eastAsia="宋体" w:cs="宋体"/>
          <w:kern w:val="0"/>
          <w:sz w:val="24"/>
          <w:szCs w:val="24"/>
        </w:rPr>
        <w:t>3.3物料特性：</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物料名称： NaCl粉尘</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堆积密度： 约1.50t/m</w:t>
      </w:r>
      <w:r>
        <w:rPr>
          <w:rFonts w:hint="eastAsia" w:ascii="宋体" w:hAnsi="宋体" w:eastAsia="宋体" w:cs="宋体"/>
          <w:kern w:val="0"/>
          <w:sz w:val="24"/>
          <w:szCs w:val="24"/>
          <w:vertAlign w:val="superscript"/>
        </w:rPr>
        <w:t>3</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安 息 角：＜40°</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物料温度：60</w:t>
      </w:r>
      <w:r>
        <w:rPr>
          <w:rFonts w:hint="eastAsia" w:ascii="宋体" w:hAnsi="宋体" w:eastAsia="宋体" w:cs="宋体"/>
          <w:kern w:val="0"/>
          <w:sz w:val="24"/>
          <w:szCs w:val="24"/>
          <w:vertAlign w:val="superscript"/>
        </w:rPr>
        <w:t>0</w:t>
      </w:r>
      <w:r>
        <w:rPr>
          <w:rFonts w:hint="eastAsia" w:ascii="宋体" w:hAnsi="宋体" w:eastAsia="宋体" w:cs="宋体"/>
          <w:kern w:val="0"/>
          <w:sz w:val="24"/>
          <w:szCs w:val="24"/>
        </w:rPr>
        <w:t>C</w:t>
      </w:r>
      <w:r>
        <w:rPr>
          <w:rFonts w:hint="eastAsia" w:ascii="宋体" w:hAnsi="宋体" w:eastAsia="宋体" w:cs="宋体"/>
          <w:sz w:val="24"/>
          <w:szCs w:val="24"/>
        </w:rPr>
        <w:t>＜</w:t>
      </w:r>
      <w:r>
        <w:rPr>
          <w:rFonts w:hint="eastAsia" w:ascii="宋体" w:hAnsi="宋体" w:eastAsia="宋体" w:cs="宋体"/>
          <w:kern w:val="0"/>
          <w:sz w:val="24"/>
          <w:szCs w:val="24"/>
        </w:rPr>
        <w:t>t</w:t>
      </w:r>
      <w:r>
        <w:rPr>
          <w:rFonts w:hint="eastAsia" w:ascii="宋体" w:hAnsi="宋体" w:eastAsia="宋体" w:cs="宋体"/>
          <w:sz w:val="24"/>
          <w:szCs w:val="24"/>
        </w:rPr>
        <w:t>＜70</w:t>
      </w:r>
      <w:r>
        <w:rPr>
          <w:rFonts w:hint="eastAsia" w:ascii="宋体" w:hAnsi="宋体" w:eastAsia="宋体" w:cs="宋体"/>
          <w:kern w:val="0"/>
          <w:sz w:val="24"/>
          <w:szCs w:val="24"/>
          <w:vertAlign w:val="superscript"/>
        </w:rPr>
        <w:t>0</w:t>
      </w:r>
      <w:r>
        <w:rPr>
          <w:rFonts w:hint="eastAsia" w:ascii="宋体" w:hAnsi="宋体" w:eastAsia="宋体" w:cs="宋体"/>
          <w:kern w:val="0"/>
          <w:sz w:val="24"/>
          <w:szCs w:val="24"/>
        </w:rPr>
        <w:t>C</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粉尘粒度：1~100</w:t>
      </w:r>
      <w:r>
        <w:rPr>
          <w:rFonts w:hint="eastAsia" w:ascii="宋体" w:hAnsi="宋体" w:eastAsia="宋体" w:cs="宋体"/>
          <w:sz w:val="24"/>
          <w:szCs w:val="24"/>
        </w:rPr>
        <w:t>μ</w:t>
      </w:r>
      <w:r>
        <w:rPr>
          <w:rFonts w:hint="eastAsia" w:ascii="宋体" w:hAnsi="宋体" w:eastAsia="宋体" w:cs="宋体"/>
          <w:kern w:val="0"/>
          <w:sz w:val="24"/>
          <w:szCs w:val="24"/>
        </w:rPr>
        <w:t xml:space="preserve">m </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毒　  性：无</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流 动 性：一般</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腐 蚀 性：有（Cl</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腐蚀和氧腐蚀）</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静 电 性：有</w:t>
      </w:r>
    </w:p>
    <w:p>
      <w:pPr>
        <w:tabs>
          <w:tab w:val="left" w:pos="1560"/>
        </w:tabs>
        <w:adjustRightInd w:val="0"/>
        <w:snapToGrid w:val="0"/>
        <w:spacing w:line="360" w:lineRule="auto"/>
        <w:textAlignment w:val="baseline"/>
        <w:rPr>
          <w:rFonts w:hint="eastAsia" w:ascii="宋体" w:hAnsi="宋体" w:eastAsia="宋体" w:cs="宋体"/>
          <w:b/>
          <w:kern w:val="0"/>
          <w:sz w:val="24"/>
          <w:szCs w:val="24"/>
        </w:rPr>
      </w:pPr>
      <w:r>
        <w:rPr>
          <w:rFonts w:hint="eastAsia" w:ascii="宋体" w:hAnsi="宋体" w:eastAsia="宋体" w:cs="宋体"/>
          <w:b/>
          <w:kern w:val="0"/>
          <w:sz w:val="24"/>
          <w:szCs w:val="24"/>
        </w:rPr>
        <w:t>4.系统设计要求</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4.1系统设计原则</w:t>
      </w:r>
    </w:p>
    <w:p>
      <w:pPr>
        <w:tabs>
          <w:tab w:val="left" w:pos="1560"/>
        </w:tabs>
        <w:adjustRightInd w:val="0"/>
        <w:snapToGrid w:val="0"/>
        <w:spacing w:line="360" w:lineRule="auto"/>
        <w:ind w:firstLine="480" w:firstLineChars="200"/>
        <w:textAlignment w:val="baseline"/>
        <w:rPr>
          <w:rFonts w:hint="eastAsia" w:ascii="宋体" w:hAnsi="宋体" w:eastAsia="宋体" w:cs="宋体"/>
          <w:color w:val="auto"/>
          <w:kern w:val="0"/>
          <w:sz w:val="24"/>
          <w:szCs w:val="24"/>
        </w:rPr>
      </w:pPr>
      <w:r>
        <w:rPr>
          <w:rFonts w:hint="eastAsia" w:ascii="宋体" w:hAnsi="宋体" w:eastAsia="宋体" w:cs="宋体"/>
          <w:kern w:val="0"/>
          <w:sz w:val="24"/>
          <w:szCs w:val="24"/>
        </w:rPr>
        <w:t>包装厂房除尘采用负压、集中、湿式除尘工艺，满足洁净厂房技术规范，</w:t>
      </w:r>
      <w:r>
        <w:rPr>
          <w:rFonts w:hint="eastAsia" w:ascii="宋体" w:hAnsi="宋体" w:eastAsia="宋体" w:cs="宋体"/>
          <w:color w:val="auto"/>
          <w:kern w:val="0"/>
          <w:sz w:val="24"/>
          <w:szCs w:val="24"/>
        </w:rPr>
        <w:t>尾气排放达到20mg/m</w:t>
      </w:r>
      <w:r>
        <w:rPr>
          <w:rFonts w:hint="eastAsia" w:ascii="宋体" w:hAnsi="宋体" w:eastAsia="宋体" w:cs="宋体"/>
          <w:color w:val="auto"/>
          <w:kern w:val="0"/>
          <w:sz w:val="24"/>
          <w:szCs w:val="24"/>
          <w:vertAlign w:val="superscript"/>
        </w:rPr>
        <w:t>3</w:t>
      </w:r>
      <w:r>
        <w:rPr>
          <w:rFonts w:hint="eastAsia" w:ascii="宋体" w:hAnsi="宋体" w:eastAsia="宋体" w:cs="宋体"/>
          <w:color w:val="auto"/>
          <w:kern w:val="0"/>
          <w:sz w:val="24"/>
          <w:szCs w:val="24"/>
        </w:rPr>
        <w:t>以下。</w:t>
      </w:r>
    </w:p>
    <w:p>
      <w:pPr>
        <w:tabs>
          <w:tab w:val="left" w:pos="1560"/>
        </w:tabs>
        <w:adjustRightInd w:val="0"/>
        <w:snapToGrid w:val="0"/>
        <w:spacing w:line="360" w:lineRule="auto"/>
        <w:textAlignment w:val="baseline"/>
        <w:rPr>
          <w:rFonts w:hint="eastAsia" w:ascii="宋体" w:hAnsi="宋体" w:eastAsia="宋体" w:cs="宋体"/>
          <w:kern w:val="0"/>
          <w:sz w:val="24"/>
          <w:szCs w:val="24"/>
        </w:rPr>
      </w:pPr>
      <w:bookmarkStart w:id="28" w:name="_Toc132532514"/>
      <w:r>
        <w:rPr>
          <w:rFonts w:hint="eastAsia" w:ascii="宋体" w:hAnsi="宋体" w:eastAsia="宋体" w:cs="宋体"/>
          <w:kern w:val="0"/>
          <w:sz w:val="24"/>
          <w:szCs w:val="24"/>
        </w:rPr>
        <w:t>4.2厂房除尘系统图</w:t>
      </w:r>
    </w:p>
    <w:p>
      <w:pPr>
        <w:tabs>
          <w:tab w:val="left" w:pos="1560"/>
        </w:tabs>
        <w:adjustRightInd w:val="0"/>
        <w:snapToGrid w:val="0"/>
        <w:spacing w:line="360" w:lineRule="auto"/>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4.2.1根据工艺资料，共</w:t>
      </w:r>
      <w:r>
        <w:rPr>
          <w:rFonts w:hint="eastAsia" w:ascii="宋体" w:hAnsi="宋体" w:cs="宋体"/>
          <w:color w:val="auto"/>
          <w:kern w:val="0"/>
          <w:sz w:val="24"/>
          <w:szCs w:val="24"/>
          <w:lang w:val="en-US" w:eastAsia="zh-CN"/>
        </w:rPr>
        <w:t>设置19</w:t>
      </w:r>
      <w:r>
        <w:rPr>
          <w:rFonts w:hint="eastAsia" w:ascii="宋体" w:hAnsi="宋体" w:eastAsia="宋体" w:cs="宋体"/>
          <w:color w:val="auto"/>
          <w:kern w:val="0"/>
          <w:sz w:val="24"/>
          <w:szCs w:val="24"/>
        </w:rPr>
        <w:t>处收尘点的管网布置与配套除尘设备</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具体除尘工艺见除尘系统图，见附图。</w:t>
      </w:r>
    </w:p>
    <w:p>
      <w:pPr>
        <w:tabs>
          <w:tab w:val="left" w:pos="1560"/>
        </w:tabs>
        <w:adjustRightInd w:val="0"/>
        <w:snapToGrid w:val="0"/>
        <w:spacing w:line="360" w:lineRule="auto"/>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4.2.2本图中标准的标高均为管道中心标高，水平管道沿气流方向设置不小于0.003的坡度。</w:t>
      </w:r>
    </w:p>
    <w:p>
      <w:pPr>
        <w:tabs>
          <w:tab w:val="left" w:pos="1560"/>
        </w:tabs>
        <w:adjustRightInd w:val="0"/>
        <w:snapToGrid w:val="0"/>
        <w:spacing w:line="360" w:lineRule="auto"/>
        <w:textAlignment w:val="baseline"/>
        <w:rPr>
          <w:rFonts w:hint="eastAsia" w:ascii="宋体" w:hAnsi="宋体" w:eastAsia="宋体" w:cs="宋体"/>
          <w:color w:val="auto"/>
          <w:kern w:val="0"/>
          <w:sz w:val="24"/>
          <w:szCs w:val="24"/>
        </w:rPr>
      </w:pPr>
      <w:r>
        <w:rPr>
          <w:rFonts w:hint="eastAsia" w:ascii="宋体" w:hAnsi="宋体" w:eastAsia="宋体" w:cs="宋体"/>
          <w:kern w:val="0"/>
          <w:sz w:val="24"/>
          <w:szCs w:val="24"/>
        </w:rPr>
        <w:t>4.2.3</w:t>
      </w:r>
      <w:r>
        <w:rPr>
          <w:rFonts w:hint="eastAsia" w:ascii="宋体" w:hAnsi="宋体" w:eastAsia="宋体" w:cs="宋体"/>
          <w:color w:val="auto"/>
          <w:kern w:val="0"/>
          <w:sz w:val="24"/>
          <w:szCs w:val="24"/>
        </w:rPr>
        <w:t>除尘尾气的排放是：风机出口</w:t>
      </w:r>
      <w:r>
        <w:rPr>
          <w:rFonts w:hint="eastAsia" w:ascii="宋体" w:hAnsi="宋体" w:eastAsia="宋体" w:cs="宋体"/>
          <w:color w:val="auto"/>
          <w:kern w:val="0"/>
          <w:sz w:val="24"/>
          <w:szCs w:val="24"/>
          <w:lang w:val="en-US" w:eastAsia="zh-CN"/>
        </w:rPr>
        <w:t>利用原有</w:t>
      </w:r>
      <w:r>
        <w:rPr>
          <w:rFonts w:hint="eastAsia" w:ascii="宋体" w:hAnsi="宋体" w:eastAsia="宋体" w:cs="宋体"/>
          <w:color w:val="auto"/>
          <w:kern w:val="0"/>
          <w:sz w:val="24"/>
          <w:szCs w:val="24"/>
        </w:rPr>
        <w:t>管道沿北边楼房外墙铺设，高于该楼房2米左右</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w:t>
      </w:r>
    </w:p>
    <w:bookmarkEnd w:id="28"/>
    <w:p>
      <w:pPr>
        <w:tabs>
          <w:tab w:val="left" w:pos="1560"/>
        </w:tabs>
        <w:adjustRightInd w:val="0"/>
        <w:snapToGrid w:val="0"/>
        <w:spacing w:line="360" w:lineRule="auto"/>
        <w:textAlignment w:val="baseline"/>
        <w:rPr>
          <w:rFonts w:hint="eastAsia" w:ascii="宋体" w:hAnsi="宋体" w:eastAsia="宋体" w:cs="宋体"/>
          <w:kern w:val="0"/>
          <w:sz w:val="24"/>
          <w:szCs w:val="24"/>
        </w:rPr>
      </w:pPr>
      <w:bookmarkStart w:id="29" w:name="_Toc144699682"/>
      <w:bookmarkStart w:id="30" w:name="_Toc144610771"/>
      <w:bookmarkStart w:id="31" w:name="_Toc270430093"/>
      <w:bookmarkStart w:id="32" w:name="_Toc132532516"/>
      <w:r>
        <w:rPr>
          <w:rFonts w:hint="eastAsia" w:ascii="宋体" w:hAnsi="宋体" w:eastAsia="宋体" w:cs="宋体"/>
          <w:kern w:val="0"/>
          <w:sz w:val="24"/>
          <w:szCs w:val="24"/>
        </w:rPr>
        <w:t>4.3</w:t>
      </w:r>
      <w:bookmarkEnd w:id="29"/>
      <w:bookmarkEnd w:id="30"/>
      <w:bookmarkEnd w:id="31"/>
      <w:r>
        <w:rPr>
          <w:rFonts w:hint="eastAsia" w:ascii="宋体" w:hAnsi="宋体" w:eastAsia="宋体" w:cs="宋体"/>
          <w:kern w:val="0"/>
          <w:sz w:val="24"/>
          <w:szCs w:val="24"/>
        </w:rPr>
        <w:t>除尘系统设备、管道材料技术要求：</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4.3.1除尘风机选用国产一线品牌，风机技术参数满足招标方提供的技术要求，叶轮、机壳等与流体接触的部件均采用</w:t>
      </w:r>
      <w:r>
        <w:rPr>
          <w:rFonts w:hint="eastAsia" w:ascii="宋体" w:hAnsi="宋体" w:cs="宋体"/>
          <w:color w:val="auto"/>
          <w:kern w:val="0"/>
          <w:sz w:val="24"/>
          <w:szCs w:val="24"/>
          <w:lang w:val="en-US" w:eastAsia="zh-CN"/>
        </w:rPr>
        <w:t>316L</w:t>
      </w:r>
      <w:r>
        <w:rPr>
          <w:rFonts w:hint="eastAsia" w:ascii="宋体" w:hAnsi="宋体" w:eastAsia="宋体" w:cs="宋体"/>
          <w:color w:val="auto"/>
          <w:kern w:val="0"/>
          <w:sz w:val="24"/>
          <w:szCs w:val="24"/>
        </w:rPr>
        <w:t>不锈钢</w:t>
      </w:r>
      <w:r>
        <w:rPr>
          <w:rFonts w:hint="eastAsia" w:ascii="宋体" w:hAnsi="宋体" w:eastAsia="宋体" w:cs="宋体"/>
          <w:color w:val="auto"/>
          <w:kern w:val="0"/>
          <w:sz w:val="24"/>
          <w:szCs w:val="24"/>
          <w:lang w:val="en-US" w:eastAsia="zh-CN"/>
        </w:rPr>
        <w:t>或采用全玻璃钢风机（</w:t>
      </w:r>
      <w:r>
        <w:rPr>
          <w:rFonts w:hint="eastAsia" w:ascii="宋体" w:hAnsi="宋体" w:eastAsia="宋体" w:cs="宋体"/>
          <w:color w:val="auto"/>
          <w:kern w:val="0"/>
          <w:sz w:val="24"/>
          <w:szCs w:val="24"/>
        </w:rPr>
        <w:t>叶轮、机壳</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4.3.2</w:t>
      </w:r>
      <w:r>
        <w:rPr>
          <w:rFonts w:hint="eastAsia" w:ascii="宋体" w:hAnsi="宋体" w:eastAsia="宋体" w:cs="宋体"/>
          <w:color w:val="auto"/>
          <w:kern w:val="0"/>
          <w:sz w:val="24"/>
          <w:szCs w:val="24"/>
          <w:lang w:val="en-US" w:eastAsia="zh-CN"/>
        </w:rPr>
        <w:t>湿式</w:t>
      </w:r>
      <w:r>
        <w:rPr>
          <w:rFonts w:hint="eastAsia" w:ascii="宋体" w:hAnsi="宋体" w:eastAsia="宋体" w:cs="宋体"/>
          <w:color w:val="auto"/>
          <w:kern w:val="0"/>
          <w:sz w:val="24"/>
          <w:szCs w:val="24"/>
        </w:rPr>
        <w:t>除尘机材料选用</w:t>
      </w:r>
      <w:r>
        <w:rPr>
          <w:rFonts w:hint="eastAsia" w:ascii="宋体" w:hAnsi="宋体" w:eastAsia="宋体" w:cs="宋体"/>
          <w:color w:val="auto"/>
          <w:kern w:val="0"/>
          <w:sz w:val="24"/>
          <w:szCs w:val="24"/>
          <w:lang w:val="en-US" w:eastAsia="zh-CN"/>
        </w:rPr>
        <w:t>增强聚丙烯</w:t>
      </w:r>
      <w:r>
        <w:rPr>
          <w:rFonts w:hint="eastAsia" w:ascii="宋体" w:hAnsi="宋体" w:eastAsia="宋体" w:cs="宋体"/>
          <w:color w:val="auto"/>
          <w:kern w:val="0"/>
          <w:sz w:val="24"/>
          <w:szCs w:val="24"/>
        </w:rPr>
        <w:t>制作</w:t>
      </w:r>
      <w:r>
        <w:rPr>
          <w:rFonts w:hint="eastAsia" w:ascii="宋体" w:hAnsi="宋体" w:eastAsia="宋体" w:cs="宋体"/>
          <w:kern w:val="0"/>
          <w:sz w:val="24"/>
          <w:szCs w:val="24"/>
        </w:rPr>
        <w:t>，除尘器箱体成型后应光滑平整，不允许有明显凹凸不平现象，内部筋板布置合理，保证箱体强度和刚性，除尘器本体设计密封坚固。</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4.3.3就地控制柜其防护等级为户内IP54，户外IP55，控制箱壳体为DMC树脂材质。控制柜内的用电和控制柜至就地的电源分配由投标方自行负责，控制柜内配电回路采用断路器用于保护。</w:t>
      </w:r>
    </w:p>
    <w:p>
      <w:pPr>
        <w:tabs>
          <w:tab w:val="left" w:pos="1560"/>
        </w:tabs>
        <w:adjustRightInd w:val="0"/>
        <w:snapToGrid w:val="0"/>
        <w:spacing w:line="360" w:lineRule="auto"/>
        <w:textAlignment w:val="baseline"/>
        <w:rPr>
          <w:rFonts w:hint="eastAsia" w:ascii="宋体" w:hAnsi="宋体" w:eastAsia="宋体" w:cs="宋体"/>
          <w:color w:val="auto"/>
          <w:kern w:val="0"/>
          <w:sz w:val="24"/>
          <w:szCs w:val="24"/>
          <w:lang w:val="en-US" w:eastAsia="zh-CN"/>
        </w:rPr>
      </w:pPr>
      <w:r>
        <w:rPr>
          <w:rFonts w:hint="eastAsia" w:ascii="宋体" w:hAnsi="宋体" w:eastAsia="宋体" w:cs="宋体"/>
          <w:kern w:val="0"/>
          <w:sz w:val="24"/>
          <w:szCs w:val="24"/>
        </w:rPr>
        <w:t>4.3.4除尘管道材料：室内除尘支管、总管</w:t>
      </w:r>
      <w:r>
        <w:rPr>
          <w:rFonts w:hint="eastAsia" w:ascii="宋体" w:hAnsi="宋体" w:eastAsia="宋体" w:cs="宋体"/>
          <w:kern w:val="0"/>
          <w:sz w:val="24"/>
          <w:szCs w:val="24"/>
          <w:lang w:eastAsia="zh-CN"/>
        </w:rPr>
        <w:t>、</w:t>
      </w:r>
      <w:r>
        <w:rPr>
          <w:rFonts w:hint="eastAsia" w:ascii="宋体" w:hAnsi="宋体" w:eastAsia="宋体" w:cs="宋体"/>
          <w:color w:val="auto"/>
          <w:kern w:val="0"/>
          <w:sz w:val="24"/>
          <w:szCs w:val="24"/>
          <w:lang w:val="en-US" w:eastAsia="zh-CN"/>
        </w:rPr>
        <w:t>调节阀采用316L不锈钢材料制作，</w:t>
      </w:r>
      <w:r>
        <w:rPr>
          <w:rFonts w:hint="eastAsia" w:ascii="宋体" w:hAnsi="宋体" w:eastAsia="宋体" w:cs="宋体"/>
          <w:kern w:val="0"/>
          <w:sz w:val="24"/>
          <w:szCs w:val="24"/>
        </w:rPr>
        <w:t>除尘器出口管选用PP材料，采用</w:t>
      </w:r>
      <w:r>
        <w:rPr>
          <w:rFonts w:hint="eastAsia" w:ascii="宋体" w:hAnsi="宋体" w:eastAsia="宋体" w:cs="宋体"/>
          <w:color w:val="auto"/>
          <w:kern w:val="0"/>
          <w:sz w:val="24"/>
          <w:szCs w:val="24"/>
        </w:rPr>
        <w:t>热熔</w:t>
      </w:r>
      <w:r>
        <w:rPr>
          <w:rFonts w:hint="eastAsia" w:ascii="宋体" w:hAnsi="宋体" w:eastAsia="宋体" w:cs="宋体"/>
          <w:kern w:val="0"/>
          <w:sz w:val="24"/>
          <w:szCs w:val="24"/>
        </w:rPr>
        <w:t>连接方式，中间部分管道便于清灰，采取法兰连接</w:t>
      </w:r>
      <w:r>
        <w:rPr>
          <w:rFonts w:hint="eastAsia" w:ascii="宋体" w:hAnsi="宋体" w:eastAsia="宋体" w:cs="宋体"/>
          <w:color w:val="auto"/>
          <w:kern w:val="0"/>
          <w:sz w:val="24"/>
          <w:szCs w:val="24"/>
          <w:lang w:val="en-US" w:eastAsia="zh-CN"/>
        </w:rPr>
        <w:t>并设置观察检查孔，一楼包装机除尘支管连接采用快装式连接，便于以后维护及清理。</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4.3.4所采用的材料应是全新的，具有产品合格证书、材质分析报告、机械性能测试报告。设备应有符合国标的铭牌，铭牌用耐腐不锈钢制成，清晰标示出主要技术参数，制造厂名、制造编号及出厂年、月、日。包装内附有说明书，资料齐全有效，反应设备的品种，规格、数量和性能。</w:t>
      </w:r>
      <w:r>
        <w:rPr>
          <w:rFonts w:hint="eastAsia" w:ascii="宋体" w:hAnsi="宋体" w:eastAsia="宋体" w:cs="宋体"/>
          <w:color w:val="auto"/>
          <w:kern w:val="0"/>
          <w:sz w:val="24"/>
          <w:szCs w:val="24"/>
        </w:rPr>
        <w:t>斜插板</w:t>
      </w:r>
      <w:r>
        <w:rPr>
          <w:rFonts w:hint="eastAsia" w:ascii="宋体" w:hAnsi="宋体" w:eastAsia="宋体" w:cs="宋体"/>
          <w:color w:val="auto"/>
          <w:kern w:val="0"/>
          <w:sz w:val="24"/>
          <w:szCs w:val="24"/>
          <w:lang w:val="en-US" w:eastAsia="zh-CN"/>
        </w:rPr>
        <w:t>阀或斜板调节阀</w:t>
      </w:r>
      <w:r>
        <w:rPr>
          <w:rFonts w:hint="eastAsia" w:ascii="宋体" w:hAnsi="宋体" w:eastAsia="宋体" w:cs="宋体"/>
          <w:kern w:val="0"/>
          <w:sz w:val="24"/>
          <w:szCs w:val="24"/>
        </w:rPr>
        <w:t>应开关灵活，密封性能好且具有良好的耐磨性能。转动机械部分加工应精确，以保证阀门开关灵活，到位准确。</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4.3.6室内管道支架、托架用</w:t>
      </w:r>
      <w:r>
        <w:rPr>
          <w:rFonts w:hint="eastAsia" w:ascii="宋体" w:hAnsi="宋体" w:cs="宋体"/>
          <w:kern w:val="0"/>
          <w:sz w:val="24"/>
          <w:szCs w:val="24"/>
          <w:lang w:val="en-US" w:eastAsia="zh-CN"/>
        </w:rPr>
        <w:t>316L</w:t>
      </w:r>
      <w:r>
        <w:rPr>
          <w:rFonts w:hint="eastAsia" w:ascii="宋体" w:hAnsi="宋体" w:eastAsia="宋体" w:cs="宋体"/>
          <w:kern w:val="0"/>
          <w:sz w:val="24"/>
          <w:szCs w:val="24"/>
        </w:rPr>
        <w:t>不锈钢。紧固件材料：紧固件材料、连接法兰（件）与连接主体材料一致。</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4.3.7连接软管材料应满足强度要求，不应有起泡、表面明疤、橡胶层厚薄不均，接头应平整。</w:t>
      </w:r>
    </w:p>
    <w:p>
      <w:pPr>
        <w:tabs>
          <w:tab w:val="left" w:pos="1560"/>
        </w:tabs>
        <w:adjustRightInd w:val="0"/>
        <w:snapToGrid w:val="0"/>
        <w:spacing w:line="360" w:lineRule="auto"/>
        <w:textAlignment w:val="baseline"/>
        <w:rPr>
          <w:rFonts w:hint="eastAsia" w:ascii="宋体" w:hAnsi="宋体" w:eastAsia="宋体" w:cs="宋体"/>
          <w:bCs/>
          <w:sz w:val="24"/>
          <w:szCs w:val="24"/>
        </w:rPr>
      </w:pPr>
      <w:r>
        <w:rPr>
          <w:rFonts w:hint="eastAsia" w:ascii="宋体" w:hAnsi="宋体" w:eastAsia="宋体" w:cs="宋体"/>
          <w:bCs/>
          <w:sz w:val="24"/>
          <w:szCs w:val="24"/>
        </w:rPr>
        <w:t>4.4设备材料清单</w:t>
      </w:r>
    </w:p>
    <w:tbl>
      <w:tblPr>
        <w:tblStyle w:val="14"/>
        <w:tblW w:w="89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
        <w:gridCol w:w="1840"/>
        <w:gridCol w:w="3550"/>
        <w:gridCol w:w="709"/>
        <w:gridCol w:w="621"/>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840"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货物、软件、名称</w:t>
            </w:r>
          </w:p>
        </w:tc>
        <w:tc>
          <w:tcPr>
            <w:tcW w:w="3550"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型号规格及主要技术参数</w:t>
            </w:r>
          </w:p>
        </w:tc>
        <w:tc>
          <w:tcPr>
            <w:tcW w:w="709"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62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520"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除尘风机</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GF-1100P-L45° H：24000paQ：35000m3/h、N:37KW</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除尘风机减震台座</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配GF-1100L</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循环水泵</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YDS-80VK-105VS6L N:7.5KW</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一级除尘器</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HYPC-21#、H≤800pa、Q：24000m3/h</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PP:13-16mm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二级除尘器</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HYST-28#、H≤800pa、Q：35000m3/h</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PP:14-16mm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调节阀</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φ180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调节阀</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φ160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调节阀</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调节阀</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φ133</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调节阀</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φ108</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调节阀</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φ89</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单级重力阀</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φ220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带调节阀多头嘴</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φ189-φ63/φ63</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吨袋吸罩</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600*600*300/φ140*2</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17.00米层卸料器溜槽吸罩</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φ108/300*200/h200+150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皮带机头.皮带秤吸罩</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φ140/400*250/h200-6 φ180/400*300/h200-1 秤φ108/300*200/h200-1</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导料槽吸罩1</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φ140/450*300/h250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导料槽1</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1430*450*h200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导料槽吸罩2</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φ160/500*400/h250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导料槽2</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1800*500*h250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导料槽吸罩3</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φ108/450*300/h200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导料槽3</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1500*450*h200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84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w:t>
            </w:r>
          </w:p>
        </w:tc>
        <w:tc>
          <w:tcPr>
            <w:tcW w:w="355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φ89-48 φ108-42 φ133-72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316L 1.5～2mm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60"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840"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w:t>
            </w:r>
          </w:p>
        </w:tc>
        <w:tc>
          <w:tcPr>
            <w:tcW w:w="355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φ140-5.86 φ160-4.76 φ180-10.8 φ210-40.26 230-9 φ280-9 φ300-3  φ350-10   φ200-1.22</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7.50米层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660"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40"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w:t>
            </w:r>
          </w:p>
        </w:tc>
        <w:tc>
          <w:tcPr>
            <w:tcW w:w="355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φ180-7.5 φ230-14.2  φ300-4 φ350-8  φ260-5 φ310-5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12.00米层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60"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840"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w:t>
            </w:r>
          </w:p>
        </w:tc>
        <w:tc>
          <w:tcPr>
            <w:tcW w:w="355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φ140-71 φ240-2.5 φ300-11.3  φ350-3.96  φ380-4 φ400-3.66  φ440-1.35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17.00米层（二期）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660"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840"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w:t>
            </w:r>
          </w:p>
        </w:tc>
        <w:tc>
          <w:tcPr>
            <w:tcW w:w="355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φ160-5 φ200-1.22 φ280-1.98  φ310-2.44  φ350-1.22 φ420-3.66  φ440-6.1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17.00米层（一期）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840"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w:t>
            </w:r>
          </w:p>
        </w:tc>
        <w:tc>
          <w:tcPr>
            <w:tcW w:w="355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φ200-7.32 φ230-3.66 φ250-4.88</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一期改造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840"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w:t>
            </w:r>
          </w:p>
        </w:tc>
        <w:tc>
          <w:tcPr>
            <w:tcW w:w="355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φ480-15.86 φ520-29.3 φ680-7.32</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96.14</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主立管 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40"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聚丙烯风管</w:t>
            </w:r>
          </w:p>
        </w:tc>
        <w:tc>
          <w:tcPr>
            <w:tcW w:w="355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φ700-13.5 φ800-4.5 φ900-63</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75.42</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设备连接管 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不锈钢快装接头</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φ133</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不锈钢快装接头</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φ89-24 φ108-18</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不锈钢风管弯头</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φ89-16 φ108-12 φ133-28 φ140-24；φ160-4；φ180-7；φ200-4；φ210-2；φ230-3； φ250-1； φ300-2；φ350-1；φ400-2 φ480-3 φ520-1；φ680-2</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840" w:type="dxa"/>
            <w:tcBorders>
              <w:top w:val="nil"/>
              <w:left w:val="nil"/>
              <w:bottom w:val="nil"/>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不锈钢变径管</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φ140/φ240 L:1200,         φ240/φ300 L:650-2,        φ300/φ350 L:650-2,        φ350/φ380 L:650,          φ380/φ400 L:650,          φ400/φ440 L:950,          φ440/φ520 L:1000,         φ140/φ200 L:500,          φ200/φ240 L:1000,                 φ420/φ440 L:500,          φ420/φ350 L:820,          φ350/φ310 L:600,           φ310/φ280 L:600,           φ280/φ160 L:850,           φ200/φ160 L:500,           φ133/φ200 L:420-2,         φ250/φ110 L:900,           φ230/φ200 L:500,           φ140/φ210 L:600,           φ230/φ300 L:650-2 ,         φ300/φ350 L:650,           φ140/φ230 L:650 ,         φ280/φ210 L:500,          φ480/φ210 L:1450,         φ230/φ260 L:600  ,          φ260/φ310 L:850,          φ480/φ680 L:1200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316L1.5-2mm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840" w:type="dxa"/>
            <w:tcBorders>
              <w:top w:val="single" w:color="auto" w:sz="8" w:space="0"/>
              <w:left w:val="nil"/>
              <w:bottom w:val="single" w:color="auto" w:sz="4"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不锈钢风管法兰</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φ133-32片 φ140-104片 φ160-24片 φ180-18片  φ200-12片 φ210-18片  φ230；22片 φ240；4片  φ250；4片 φ260；6片 φ280；8片 4mmφ300；12片 φ310；4片 φ350；20片 φ380；4片 φ400；4片 φ420；4片  φ440；4片 φ480；13片 φ520；12片 φ680 7片5mm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789.9</w:t>
            </w:r>
          </w:p>
        </w:tc>
        <w:tc>
          <w:tcPr>
            <w:tcW w:w="1520" w:type="dxa"/>
            <w:tcBorders>
              <w:top w:val="nil"/>
              <w:left w:val="nil"/>
              <w:bottom w:val="single" w:color="auto" w:sz="8" w:space="0"/>
              <w:right w:val="single" w:color="auto" w:sz="8" w:space="0"/>
            </w:tcBorders>
            <w:noWrap/>
            <w:vAlign w:val="center"/>
          </w:tcPr>
          <w:p>
            <w:pPr>
              <w:keepNext w:val="0"/>
              <w:keepLines w:val="0"/>
              <w:widowControl/>
              <w:suppressLineNumbers w:val="0"/>
              <w:jc w:val="left"/>
              <w:textAlignment w:val="center"/>
              <w:rPr>
                <w:rFonts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840" w:type="dxa"/>
            <w:tcBorders>
              <w:top w:val="nil"/>
              <w:left w:val="nil"/>
              <w:bottom w:val="single" w:color="000000"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聚丙烯法兰</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12mmφ700-6片 φ800-2片 φ900-16片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520" w:type="dxa"/>
            <w:tcBorders>
              <w:top w:val="nil"/>
              <w:left w:val="nil"/>
              <w:bottom w:val="single" w:color="auto" w:sz="8" w:space="0"/>
              <w:right w:val="single" w:color="auto" w:sz="8" w:space="0"/>
            </w:tcBorders>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管道清理检查口</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φ108-5 φ133-3 φ140-3 φ160-1 φ170-1 φ230-2 φ480-1  φ680-1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管道清理检查口1</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240×160×80</w:t>
            </w:r>
          </w:p>
        </w:tc>
        <w:tc>
          <w:tcPr>
            <w:tcW w:w="709" w:type="dxa"/>
            <w:tcBorders>
              <w:top w:val="nil"/>
              <w:left w:val="nil"/>
              <w:bottom w:val="nil"/>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nil"/>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管道清理检查口2</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160×120×80</w:t>
            </w:r>
          </w:p>
        </w:tc>
        <w:tc>
          <w:tcPr>
            <w:tcW w:w="7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管道清理检查口3</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120×80×80</w:t>
            </w:r>
          </w:p>
        </w:tc>
        <w:tc>
          <w:tcPr>
            <w:tcW w:w="709"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管道清理检查口4</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室外300*200*80</w:t>
            </w:r>
          </w:p>
        </w:tc>
        <w:tc>
          <w:tcPr>
            <w:tcW w:w="709"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316L1.5mm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风管支架</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∠4*40-20、∠5*50-5  φ10通丝 抱箍</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1282</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风机软接头</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φ700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软PVC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电器控制箱</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总功率77KW  触摸屏 PLC控制 ABB变频器</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不锈钢柜壳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840" w:type="dxa"/>
            <w:tcBorders>
              <w:top w:val="nil"/>
              <w:left w:val="nil"/>
              <w:bottom w:val="nil"/>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液位浮球</w:t>
            </w:r>
          </w:p>
        </w:tc>
        <w:tc>
          <w:tcPr>
            <w:tcW w:w="3550" w:type="dxa"/>
            <w:tcBorders>
              <w:top w:val="nil"/>
              <w:left w:val="nil"/>
              <w:bottom w:val="nil"/>
              <w:right w:val="nil"/>
            </w:tcBorders>
            <w:noWrap/>
            <w:vAlign w:val="center"/>
          </w:tcPr>
          <w:p>
            <w:pPr>
              <w:jc w:val="both"/>
              <w:rPr>
                <w:rFonts w:hint="eastAsia" w:ascii="等线" w:hAnsi="等线" w:eastAsia="等线" w:cs="等线"/>
                <w:i w:val="0"/>
                <w:iCs w:val="0"/>
                <w:color w:val="000000"/>
                <w:sz w:val="22"/>
                <w:szCs w:val="22"/>
                <w:u w:val="none"/>
              </w:rPr>
            </w:pP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840"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线槽（玻璃钢）</w:t>
            </w:r>
          </w:p>
        </w:tc>
        <w:tc>
          <w:tcPr>
            <w:tcW w:w="3550"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100×100×4  50×50×4</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控制电力电缆</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3*25＋1*16mm2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控制电力电缆</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3*4＋1*2.5mm2</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4*1.0mm2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6*1.0mm2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7*1.0mm2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10*1.0mm2  </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全铜线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17.0米层二期皮带清扫管路</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φ63-30  φ45-36  φ32-36 φ20-36管道，DN15阀门-8，弯头，三通等配件</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高压旋涡风机</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XGB-3KW/380V</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电机3KW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皮带吹扫装置</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L：1200-2，L：1000-4</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不锈钢控制阀门配件</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DN80-12  DN50-10 DN25-8</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聚氨酯软管</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φ63 φ90，φ110，φ133，φ160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621" w:type="dxa"/>
            <w:tcBorders>
              <w:top w:val="nil"/>
              <w:left w:val="nil"/>
              <w:bottom w:val="single" w:color="auto" w:sz="8" w:space="0"/>
              <w:right w:val="single" w:color="auto"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316不锈钢螺丝</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φ8*20、φ8*25、φ8*30、φ8*35、φ8*40、φ10*35</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660" w:type="dxa"/>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84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不锈钢爬梯</w:t>
            </w:r>
          </w:p>
        </w:tc>
        <w:tc>
          <w:tcPr>
            <w:tcW w:w="355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650*5000*700</w:t>
            </w:r>
          </w:p>
        </w:tc>
        <w:tc>
          <w:tcPr>
            <w:tcW w:w="709"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21"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20" w:type="dxa"/>
            <w:tcBorders>
              <w:top w:val="nil"/>
              <w:left w:val="nil"/>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316L</w:t>
            </w:r>
          </w:p>
        </w:tc>
      </w:tr>
    </w:tbl>
    <w:p>
      <w:pPr>
        <w:adjustRightInd w:val="0"/>
        <w:snapToGrid w:val="0"/>
        <w:spacing w:after="120" w:afterLines="50"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备注：1、由于设计时需要除尘的机械设备暂未订货，应待工艺设备订货后校核除尘器风量是否满足机械设备要求后再采购除尘器。</w:t>
      </w:r>
      <w:r>
        <w:rPr>
          <w:rFonts w:hint="eastAsia" w:ascii="宋体" w:hAnsi="宋体" w:cs="宋体"/>
          <w:kern w:val="0"/>
          <w:sz w:val="21"/>
          <w:szCs w:val="21"/>
          <w:lang w:val="en-US" w:eastAsia="zh-CN"/>
        </w:rPr>
        <w:t>2、</w:t>
      </w:r>
      <w:r>
        <w:rPr>
          <w:rFonts w:hint="eastAsia" w:ascii="宋体" w:hAnsi="宋体" w:eastAsia="宋体" w:cs="宋体"/>
          <w:color w:val="auto"/>
          <w:kern w:val="0"/>
          <w:sz w:val="21"/>
          <w:szCs w:val="21"/>
        </w:rPr>
        <w:t>其他材料按图纸与实际需要采购、安装。</w:t>
      </w:r>
      <w:bookmarkStart w:id="33" w:name="_Toc270430094"/>
      <w:bookmarkStart w:id="34" w:name="_Toc144699683"/>
      <w:bookmarkStart w:id="35" w:name="_Toc144610772"/>
      <w:r>
        <w:rPr>
          <w:rFonts w:hint="eastAsia" w:ascii="宋体" w:hAnsi="宋体" w:cs="宋体"/>
          <w:kern w:val="0"/>
          <w:sz w:val="21"/>
          <w:szCs w:val="21"/>
          <w:lang w:val="en-US" w:eastAsia="zh-CN"/>
        </w:rPr>
        <w:t>3、</w:t>
      </w:r>
      <w:r>
        <w:rPr>
          <w:rFonts w:hint="eastAsia" w:ascii="宋体" w:hAnsi="宋体" w:eastAsia="宋体" w:cs="宋体"/>
          <w:kern w:val="0"/>
          <w:sz w:val="21"/>
          <w:szCs w:val="21"/>
        </w:rPr>
        <w:t>材料表中只统计主要材料，支、吊、拖等辅助材料均未统计。</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4.5施工要求</w:t>
      </w:r>
      <w:bookmarkEnd w:id="33"/>
      <w:bookmarkEnd w:id="34"/>
      <w:bookmarkEnd w:id="35"/>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4.5.1安装施工时，安装单位按招标方提供的《除尘系统管道布置图》《除尘系统图》进行施工；各除尘点及除尘支管的定位尺寸待工艺设备就位后根据实际情况现场确定。施工中有变动的细节，经双方协商招标方确定后再行调整。</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4.5.2除尘系统施工应遵循《通风与空调工程施工规范》GB50738-2011，通风管道安装施工按《通风与空调工程施工质量验收规范》GB50243-2002确定。</w:t>
      </w:r>
    </w:p>
    <w:p>
      <w:pPr>
        <w:tabs>
          <w:tab w:val="left" w:pos="1560"/>
        </w:tabs>
        <w:adjustRightInd w:val="0"/>
        <w:snapToGrid w:val="0"/>
        <w:spacing w:line="360" w:lineRule="auto"/>
        <w:textAlignment w:val="baseline"/>
        <w:rPr>
          <w:rFonts w:hint="eastAsia" w:ascii="宋体" w:hAnsi="宋体" w:eastAsia="宋体" w:cs="宋体"/>
          <w:color w:val="FF0000"/>
          <w:kern w:val="0"/>
          <w:sz w:val="24"/>
          <w:szCs w:val="24"/>
        </w:rPr>
      </w:pPr>
      <w:r>
        <w:rPr>
          <w:rFonts w:hint="eastAsia" w:ascii="宋体" w:hAnsi="宋体" w:eastAsia="宋体" w:cs="宋体"/>
          <w:kern w:val="0"/>
          <w:sz w:val="24"/>
          <w:szCs w:val="24"/>
        </w:rPr>
        <w:t>4.5.3除尘系统支风管采用30°～45°夹角的三通与主管连接，在弯头、三通等容易积尘的附近位置设密闭清扫口。</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4.5.4所有水平和垂直的风管，必须设置支、吊、托架，材料为</w:t>
      </w:r>
      <w:r>
        <w:rPr>
          <w:rFonts w:hint="eastAsia" w:ascii="宋体" w:hAnsi="宋体" w:cs="宋体"/>
          <w:kern w:val="0"/>
          <w:sz w:val="24"/>
          <w:szCs w:val="24"/>
          <w:lang w:val="en-US" w:eastAsia="zh-CN"/>
        </w:rPr>
        <w:t>316L</w:t>
      </w:r>
      <w:r>
        <w:rPr>
          <w:rFonts w:hint="eastAsia" w:ascii="宋体" w:hAnsi="宋体" w:eastAsia="宋体" w:cs="宋体"/>
          <w:kern w:val="0"/>
          <w:sz w:val="24"/>
          <w:szCs w:val="24"/>
        </w:rPr>
        <w:t>不锈钢，其构造形式由安装单位在保证牢固、可靠的原则下，根据现场情况选定，其做法详见国标08K132。</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4.5.5风管上可拆卸接口及调节机构，不得设在墙体或楼板内。</w:t>
      </w:r>
    </w:p>
    <w:p>
      <w:pPr>
        <w:tabs>
          <w:tab w:val="left" w:pos="1560"/>
        </w:tabs>
        <w:adjustRightInd w:val="0"/>
        <w:snapToGrid w:val="0"/>
        <w:spacing w:line="360" w:lineRule="auto"/>
        <w:textAlignment w:val="baseline"/>
        <w:rPr>
          <w:rFonts w:hint="eastAsia" w:ascii="宋体" w:hAnsi="宋体" w:eastAsia="宋体" w:cs="宋体"/>
          <w:color w:val="548DD4"/>
          <w:kern w:val="0"/>
          <w:sz w:val="24"/>
          <w:szCs w:val="24"/>
          <w:lang w:eastAsia="zh-CN"/>
        </w:rPr>
      </w:pPr>
      <w:r>
        <w:rPr>
          <w:rFonts w:hint="eastAsia" w:ascii="宋体" w:hAnsi="宋体" w:eastAsia="宋体" w:cs="宋体"/>
          <w:kern w:val="0"/>
          <w:sz w:val="24"/>
          <w:szCs w:val="24"/>
        </w:rPr>
        <w:t>4.5.6矩形风管弯头长边大于等于500mm时，应设导流叶片。</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穿越沉降缝或变形缝处的风管两侧，以及通风机进出口，应设长度200~300的软管连接，软接的接口应牢固、严密，在软接处禁止变径。</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安装调节阀等调节配件时，必须注意把操作手柄配置在便于操作的部位。</w:t>
      </w:r>
    </w:p>
    <w:p>
      <w:pPr>
        <w:tabs>
          <w:tab w:val="left" w:pos="1560"/>
        </w:tabs>
        <w:adjustRightInd w:val="0"/>
        <w:snapToGrid w:val="0"/>
        <w:spacing w:line="360" w:lineRule="auto"/>
        <w:textAlignment w:val="baseline"/>
        <w:rPr>
          <w:rFonts w:hint="eastAsia" w:ascii="宋体" w:hAnsi="宋体" w:eastAsia="宋体" w:cs="宋体"/>
          <w:kern w:val="0"/>
          <w:sz w:val="24"/>
          <w:szCs w:val="24"/>
          <w:lang w:eastAsia="zh-CN"/>
        </w:rPr>
      </w:pPr>
      <w:r>
        <w:rPr>
          <w:rFonts w:hint="eastAsia" w:ascii="宋体" w:hAnsi="宋体" w:eastAsia="宋体" w:cs="宋体"/>
          <w:kern w:val="0"/>
          <w:sz w:val="24"/>
          <w:szCs w:val="24"/>
        </w:rPr>
        <w:t>4.5.</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风管在穿越隔墙、楼板及防火分区应设防护套管，其钢板厚度不应小于1.6mm，风管与防护套管之间的缝隙因采用石棉防火材料封堵。</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由土建施工</w:t>
      </w:r>
      <w:r>
        <w:rPr>
          <w:rFonts w:hint="eastAsia" w:ascii="宋体" w:hAnsi="宋体" w:eastAsia="宋体" w:cs="宋体"/>
          <w:color w:val="auto"/>
          <w:kern w:val="0"/>
          <w:sz w:val="24"/>
          <w:szCs w:val="24"/>
          <w:lang w:eastAsia="zh-CN"/>
        </w:rPr>
        <w:t>）</w:t>
      </w:r>
    </w:p>
    <w:p>
      <w:pPr>
        <w:tabs>
          <w:tab w:val="left" w:pos="1560"/>
        </w:tabs>
        <w:adjustRightInd w:val="0"/>
        <w:snapToGrid w:val="0"/>
        <w:spacing w:line="360" w:lineRule="auto"/>
        <w:textAlignment w:val="baseline"/>
        <w:rPr>
          <w:rFonts w:hint="eastAsia" w:ascii="宋体" w:hAnsi="宋体" w:eastAsia="宋体" w:cs="宋体"/>
          <w:color w:val="auto"/>
          <w:kern w:val="0"/>
          <w:sz w:val="24"/>
          <w:szCs w:val="24"/>
        </w:rPr>
      </w:pPr>
      <w:r>
        <w:rPr>
          <w:rFonts w:hint="eastAsia" w:ascii="宋体" w:hAnsi="宋体" w:eastAsia="宋体" w:cs="宋体"/>
          <w:kern w:val="0"/>
          <w:sz w:val="24"/>
          <w:szCs w:val="24"/>
        </w:rPr>
        <w:t>4.5.</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所有设备基础均应与到货设备或已订货设备核对无误后方可施工。</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由土建施工</w:t>
      </w:r>
      <w:r>
        <w:rPr>
          <w:rFonts w:hint="eastAsia" w:ascii="宋体" w:hAnsi="宋体" w:eastAsia="宋体" w:cs="宋体"/>
          <w:color w:val="auto"/>
          <w:kern w:val="0"/>
          <w:sz w:val="24"/>
          <w:szCs w:val="24"/>
          <w:lang w:eastAsia="zh-CN"/>
        </w:rPr>
        <w:t>）</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 xml:space="preserve"> 设计施工说明中为说明之处严格按照《通风与空调工程施工质量验收规范》GB50243-2002中有关规定进行施工安装。</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4.5.1</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所有露出建筑物屋面的金属管道及金属架构等外带电金属构架应就近与防雷装置可靠连接。</w:t>
      </w:r>
    </w:p>
    <w:bookmarkEnd w:id="32"/>
    <w:p>
      <w:pPr>
        <w:spacing w:after="120" w:afterLines="50" w:line="360" w:lineRule="auto"/>
        <w:rPr>
          <w:rFonts w:hint="eastAsia" w:ascii="宋体" w:hAnsi="宋体" w:eastAsia="宋体" w:cs="宋体"/>
          <w:b/>
          <w:bCs/>
          <w:sz w:val="24"/>
          <w:szCs w:val="24"/>
        </w:rPr>
      </w:pPr>
      <w:bookmarkStart w:id="36" w:name="_Toc287280873"/>
      <w:bookmarkStart w:id="37" w:name="_Toc406540095"/>
      <w:bookmarkStart w:id="38" w:name="_Toc144610786"/>
      <w:bookmarkStart w:id="39" w:name="_Toc144699697"/>
      <w:r>
        <w:rPr>
          <w:rFonts w:hint="eastAsia" w:ascii="宋体" w:hAnsi="宋体" w:eastAsia="宋体" w:cs="宋体"/>
          <w:b/>
          <w:bCs/>
          <w:sz w:val="24"/>
          <w:szCs w:val="24"/>
        </w:rPr>
        <w:t>5.投标方职责范围</w:t>
      </w:r>
      <w:bookmarkEnd w:id="36"/>
      <w:bookmarkEnd w:id="37"/>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投标人负责除尘设备系统所有设备、材料的供应，具体材料以实际需求为准。根据除尘系统图按质按量完成安装施工，与招标方完成检验，验收工作。</w:t>
      </w:r>
    </w:p>
    <w:bookmarkEnd w:id="38"/>
    <w:bookmarkEnd w:id="39"/>
    <w:p>
      <w:pPr>
        <w:spacing w:before="120" w:beforeLines="50" w:after="120" w:afterLines="50" w:line="360" w:lineRule="auto"/>
        <w:rPr>
          <w:rFonts w:hint="eastAsia" w:ascii="宋体" w:hAnsi="宋体" w:eastAsia="宋体" w:cs="宋体"/>
          <w:b/>
          <w:bCs/>
          <w:sz w:val="24"/>
          <w:szCs w:val="24"/>
        </w:rPr>
      </w:pPr>
      <w:bookmarkStart w:id="40" w:name="_Toc270430102"/>
      <w:r>
        <w:rPr>
          <w:rFonts w:hint="eastAsia" w:ascii="宋体" w:hAnsi="宋体" w:eastAsia="宋体" w:cs="宋体"/>
          <w:b/>
          <w:bCs/>
          <w:sz w:val="24"/>
          <w:szCs w:val="24"/>
        </w:rPr>
        <w:t>6. 性能保证</w:t>
      </w:r>
      <w:bookmarkEnd w:id="40"/>
    </w:p>
    <w:p>
      <w:pPr>
        <w:spacing w:after="120" w:afterLines="5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6.1考核依据</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性能考核应在开车正常后连续运行72小时，作为性能考核计算的依据。</w:t>
      </w:r>
    </w:p>
    <w:p>
      <w:pPr>
        <w:spacing w:after="120" w:afterLines="5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6.2考核范围</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投标人将对所提供系统及设备，在正常操作情况下进行以下性能保证：</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设备噪音要求：符合国家最新标准和规范要求。</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排放物保证满足国家最新标准和规范要求。</w:t>
      </w:r>
    </w:p>
    <w:p>
      <w:pPr>
        <w:tabs>
          <w:tab w:val="left" w:pos="1560"/>
        </w:tabs>
        <w:adjustRightInd w:val="0"/>
        <w:snapToGrid w:val="0"/>
        <w:spacing w:line="360" w:lineRule="auto"/>
        <w:ind w:left="420" w:leftChars="200" w:firstLine="120" w:firstLineChars="5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设备投入运行后在订货合同规定的时间内，因产品质量问题而发生损坏时（不包括易损件），投标人应无偿地及时为用户弥补或更换损坏件。</w:t>
      </w:r>
    </w:p>
    <w:p>
      <w:pPr>
        <w:spacing w:before="120" w:beforeLines="50" w:after="120" w:afterLines="50" w:line="360" w:lineRule="auto"/>
        <w:rPr>
          <w:rFonts w:hint="eastAsia" w:ascii="宋体" w:hAnsi="宋体" w:eastAsia="宋体" w:cs="宋体"/>
          <w:b/>
          <w:bCs/>
          <w:sz w:val="24"/>
          <w:szCs w:val="24"/>
        </w:rPr>
      </w:pPr>
      <w:bookmarkStart w:id="41" w:name="_Toc258827551"/>
      <w:bookmarkEnd w:id="41"/>
      <w:bookmarkStart w:id="42" w:name="_Toc259455197"/>
      <w:bookmarkEnd w:id="42"/>
      <w:bookmarkStart w:id="43" w:name="_Toc259455194"/>
      <w:bookmarkEnd w:id="43"/>
      <w:bookmarkStart w:id="44" w:name="_Toc258827664"/>
      <w:bookmarkEnd w:id="44"/>
      <w:bookmarkStart w:id="45" w:name="_Toc259515184"/>
      <w:bookmarkEnd w:id="45"/>
      <w:bookmarkStart w:id="46" w:name="_Toc260811937"/>
      <w:bookmarkEnd w:id="46"/>
      <w:bookmarkStart w:id="47" w:name="_Toc259458260"/>
      <w:bookmarkEnd w:id="47"/>
      <w:bookmarkStart w:id="48" w:name="_Toc259455195"/>
      <w:bookmarkEnd w:id="48"/>
      <w:bookmarkStart w:id="49" w:name="_Toc259455193"/>
      <w:bookmarkEnd w:id="49"/>
      <w:bookmarkStart w:id="50" w:name="_Toc258827427"/>
      <w:bookmarkEnd w:id="50"/>
      <w:bookmarkStart w:id="51" w:name="_Toc259458839"/>
      <w:bookmarkEnd w:id="51"/>
      <w:bookmarkStart w:id="52" w:name="_Toc259458434"/>
      <w:bookmarkEnd w:id="52"/>
      <w:bookmarkStart w:id="53" w:name="_Toc258827668"/>
      <w:bookmarkEnd w:id="53"/>
      <w:bookmarkStart w:id="54" w:name="_Toc259455076"/>
      <w:bookmarkEnd w:id="54"/>
      <w:bookmarkStart w:id="55" w:name="_Toc258827663"/>
      <w:bookmarkEnd w:id="55"/>
      <w:bookmarkStart w:id="56" w:name="_Toc260929132"/>
      <w:bookmarkEnd w:id="56"/>
      <w:bookmarkStart w:id="57" w:name="_Toc258827547"/>
      <w:bookmarkEnd w:id="57"/>
      <w:bookmarkStart w:id="58" w:name="_Toc259455886"/>
      <w:bookmarkEnd w:id="58"/>
      <w:bookmarkStart w:id="59" w:name="_Toc259455882"/>
      <w:bookmarkEnd w:id="59"/>
      <w:bookmarkStart w:id="60" w:name="_Toc260728023"/>
      <w:bookmarkEnd w:id="60"/>
      <w:bookmarkStart w:id="61" w:name="_Toc259455075"/>
      <w:bookmarkEnd w:id="61"/>
      <w:bookmarkStart w:id="62" w:name="_Toc260929136"/>
      <w:bookmarkEnd w:id="62"/>
      <w:bookmarkStart w:id="63" w:name="_Toc260811935"/>
      <w:bookmarkEnd w:id="63"/>
      <w:bookmarkStart w:id="64" w:name="_Toc259458671"/>
      <w:bookmarkEnd w:id="64"/>
      <w:bookmarkStart w:id="65" w:name="_Toc259457371"/>
      <w:bookmarkEnd w:id="65"/>
      <w:bookmarkStart w:id="66" w:name="_Toc259458257"/>
      <w:bookmarkEnd w:id="66"/>
      <w:bookmarkStart w:id="67" w:name="_Toc259455196"/>
      <w:bookmarkEnd w:id="67"/>
      <w:bookmarkStart w:id="68" w:name="_Toc260929133"/>
      <w:bookmarkEnd w:id="68"/>
      <w:bookmarkStart w:id="69" w:name="_Toc258827666"/>
      <w:bookmarkEnd w:id="69"/>
      <w:bookmarkStart w:id="70" w:name="_Toc260811936"/>
      <w:bookmarkEnd w:id="70"/>
      <w:bookmarkStart w:id="71" w:name="_Toc259515185"/>
      <w:bookmarkEnd w:id="71"/>
      <w:bookmarkStart w:id="72" w:name="_Toc260811934"/>
      <w:bookmarkEnd w:id="72"/>
      <w:bookmarkStart w:id="73" w:name="_Toc259458669"/>
      <w:bookmarkEnd w:id="73"/>
      <w:bookmarkStart w:id="74" w:name="_Toc258827552"/>
      <w:bookmarkEnd w:id="74"/>
      <w:bookmarkStart w:id="75" w:name="_Toc258827429"/>
      <w:bookmarkEnd w:id="75"/>
      <w:bookmarkStart w:id="76" w:name="_Toc259458432"/>
      <w:bookmarkEnd w:id="76"/>
      <w:bookmarkStart w:id="77" w:name="_Toc259458261"/>
      <w:bookmarkEnd w:id="77"/>
      <w:bookmarkStart w:id="78" w:name="_Toc258827426"/>
      <w:bookmarkEnd w:id="78"/>
      <w:bookmarkStart w:id="79" w:name="_Toc259458429"/>
      <w:bookmarkEnd w:id="79"/>
      <w:bookmarkStart w:id="80" w:name="_Toc259515353"/>
      <w:bookmarkEnd w:id="80"/>
      <w:bookmarkStart w:id="81" w:name="_Toc259458673"/>
      <w:bookmarkEnd w:id="81"/>
      <w:bookmarkStart w:id="82" w:name="_Toc259455199"/>
      <w:bookmarkEnd w:id="82"/>
      <w:bookmarkStart w:id="83" w:name="_Toc259457372"/>
      <w:bookmarkEnd w:id="83"/>
      <w:bookmarkStart w:id="84" w:name="_Toc259455080"/>
      <w:bookmarkEnd w:id="84"/>
      <w:bookmarkStart w:id="85" w:name="_Toc258827428"/>
      <w:bookmarkEnd w:id="85"/>
      <w:bookmarkStart w:id="86" w:name="_Toc260728028"/>
      <w:bookmarkEnd w:id="86"/>
      <w:bookmarkStart w:id="87" w:name="_Toc259515356"/>
      <w:bookmarkEnd w:id="87"/>
      <w:bookmarkStart w:id="88" w:name="_Toc258827425"/>
      <w:bookmarkEnd w:id="88"/>
      <w:bookmarkStart w:id="89" w:name="_Toc259458840"/>
      <w:bookmarkEnd w:id="89"/>
      <w:bookmarkStart w:id="90" w:name="_Toc259458670"/>
      <w:bookmarkEnd w:id="90"/>
      <w:bookmarkStart w:id="91" w:name="_Toc259455881"/>
      <w:bookmarkEnd w:id="91"/>
      <w:bookmarkStart w:id="92" w:name="_Toc259458676"/>
      <w:bookmarkEnd w:id="92"/>
      <w:bookmarkStart w:id="93" w:name="_Toc259457370"/>
      <w:bookmarkEnd w:id="93"/>
      <w:bookmarkStart w:id="94" w:name="_Toc259458258"/>
      <w:bookmarkEnd w:id="94"/>
      <w:bookmarkStart w:id="95" w:name="_Toc259458674"/>
      <w:bookmarkEnd w:id="95"/>
      <w:bookmarkStart w:id="96" w:name="_Toc259458427"/>
      <w:bookmarkEnd w:id="96"/>
      <w:bookmarkStart w:id="97" w:name="_Toc259515351"/>
      <w:bookmarkEnd w:id="97"/>
      <w:bookmarkStart w:id="98" w:name="_Toc259458845"/>
      <w:bookmarkEnd w:id="98"/>
      <w:bookmarkStart w:id="99" w:name="_Toc259515352"/>
      <w:bookmarkEnd w:id="99"/>
      <w:bookmarkStart w:id="100" w:name="_Toc259455883"/>
      <w:bookmarkEnd w:id="100"/>
      <w:bookmarkStart w:id="101" w:name="_Toc260929135"/>
      <w:bookmarkEnd w:id="101"/>
      <w:bookmarkStart w:id="102" w:name="_Toc259515354"/>
      <w:bookmarkEnd w:id="102"/>
      <w:bookmarkStart w:id="103" w:name="_Toc259455079"/>
      <w:bookmarkEnd w:id="103"/>
      <w:bookmarkStart w:id="104" w:name="_Toc259457375"/>
      <w:bookmarkEnd w:id="104"/>
      <w:bookmarkStart w:id="105" w:name="_Toc260929137"/>
      <w:bookmarkEnd w:id="105"/>
      <w:bookmarkStart w:id="106" w:name="_Toc259457377"/>
      <w:bookmarkEnd w:id="106"/>
      <w:bookmarkStart w:id="107" w:name="_Toc259458262"/>
      <w:bookmarkEnd w:id="107"/>
      <w:bookmarkStart w:id="108" w:name="_Toc259458259"/>
      <w:bookmarkEnd w:id="108"/>
      <w:bookmarkStart w:id="109" w:name="_Toc259458264"/>
      <w:bookmarkEnd w:id="109"/>
      <w:bookmarkStart w:id="110" w:name="_Toc259457373"/>
      <w:bookmarkEnd w:id="110"/>
      <w:bookmarkStart w:id="111" w:name="_Toc259458843"/>
      <w:bookmarkEnd w:id="111"/>
      <w:bookmarkStart w:id="112" w:name="_Toc260728029"/>
      <w:bookmarkEnd w:id="112"/>
      <w:bookmarkStart w:id="113" w:name="_Toc258827431"/>
      <w:bookmarkEnd w:id="113"/>
      <w:bookmarkStart w:id="114" w:name="_Toc259515355"/>
      <w:bookmarkEnd w:id="114"/>
      <w:bookmarkStart w:id="115" w:name="_Toc259458675"/>
      <w:bookmarkEnd w:id="115"/>
      <w:bookmarkStart w:id="116" w:name="_Toc260811941"/>
      <w:bookmarkEnd w:id="116"/>
      <w:bookmarkStart w:id="117" w:name="_Toc258827669"/>
      <w:bookmarkEnd w:id="117"/>
      <w:bookmarkStart w:id="118" w:name="_Toc260728026"/>
      <w:bookmarkEnd w:id="118"/>
      <w:bookmarkStart w:id="119" w:name="_Toc258827670"/>
      <w:bookmarkEnd w:id="119"/>
      <w:bookmarkStart w:id="120" w:name="_Toc259458431"/>
      <w:bookmarkEnd w:id="120"/>
      <w:bookmarkStart w:id="121" w:name="_Toc259455082"/>
      <w:bookmarkEnd w:id="121"/>
      <w:bookmarkStart w:id="122" w:name="_Toc259515190"/>
      <w:bookmarkEnd w:id="122"/>
      <w:bookmarkStart w:id="123" w:name="_Toc259515191"/>
      <w:bookmarkEnd w:id="123"/>
      <w:bookmarkStart w:id="124" w:name="_Toc259458842"/>
      <w:bookmarkEnd w:id="124"/>
      <w:bookmarkStart w:id="125" w:name="_Toc259455887"/>
      <w:bookmarkEnd w:id="125"/>
      <w:bookmarkStart w:id="126" w:name="_Toc259515188"/>
      <w:bookmarkEnd w:id="126"/>
      <w:bookmarkStart w:id="127" w:name="_Toc260811938"/>
      <w:bookmarkEnd w:id="127"/>
      <w:bookmarkStart w:id="128" w:name="_Toc260728030"/>
      <w:bookmarkEnd w:id="128"/>
      <w:bookmarkStart w:id="129" w:name="_Toc259455888"/>
      <w:bookmarkEnd w:id="129"/>
      <w:bookmarkStart w:id="130" w:name="_Toc259458672"/>
      <w:bookmarkEnd w:id="130"/>
      <w:bookmarkStart w:id="131" w:name="_Toc259455081"/>
      <w:bookmarkEnd w:id="131"/>
      <w:bookmarkStart w:id="132" w:name="_Toc259457376"/>
      <w:bookmarkEnd w:id="132"/>
      <w:bookmarkStart w:id="133" w:name="_Toc260811939"/>
      <w:bookmarkEnd w:id="133"/>
      <w:bookmarkStart w:id="134" w:name="_Toc260728027"/>
      <w:bookmarkEnd w:id="134"/>
      <w:bookmarkStart w:id="135" w:name="_Toc258827553"/>
      <w:bookmarkEnd w:id="135"/>
      <w:bookmarkStart w:id="136" w:name="_Toc258827432"/>
      <w:bookmarkEnd w:id="136"/>
      <w:bookmarkStart w:id="137" w:name="_Toc259458433"/>
      <w:bookmarkEnd w:id="137"/>
      <w:bookmarkStart w:id="138" w:name="_Toc260728025"/>
      <w:bookmarkEnd w:id="138"/>
      <w:bookmarkStart w:id="139" w:name="_Toc259458428"/>
      <w:bookmarkEnd w:id="139"/>
      <w:bookmarkStart w:id="140" w:name="_Toc258827550"/>
      <w:bookmarkEnd w:id="140"/>
      <w:bookmarkStart w:id="141" w:name="_Toc259455198"/>
      <w:bookmarkEnd w:id="141"/>
      <w:bookmarkStart w:id="142" w:name="_Toc259515358"/>
      <w:bookmarkEnd w:id="142"/>
      <w:bookmarkStart w:id="143" w:name="_Toc260811940"/>
      <w:bookmarkEnd w:id="143"/>
      <w:bookmarkStart w:id="144" w:name="_Toc258827546"/>
      <w:bookmarkEnd w:id="144"/>
      <w:bookmarkStart w:id="145" w:name="_Toc259455200"/>
      <w:bookmarkEnd w:id="145"/>
      <w:bookmarkStart w:id="146" w:name="_Toc259455885"/>
      <w:bookmarkEnd w:id="146"/>
      <w:bookmarkStart w:id="147" w:name="_Toc259458263"/>
      <w:bookmarkEnd w:id="147"/>
      <w:bookmarkStart w:id="148" w:name="_Toc260728024"/>
      <w:bookmarkEnd w:id="148"/>
      <w:bookmarkStart w:id="149" w:name="_Toc259458430"/>
      <w:bookmarkEnd w:id="149"/>
      <w:bookmarkStart w:id="150" w:name="_Toc259458846"/>
      <w:bookmarkEnd w:id="150"/>
      <w:bookmarkStart w:id="151" w:name="_Toc259458844"/>
      <w:bookmarkEnd w:id="151"/>
      <w:bookmarkStart w:id="152" w:name="_Toc259455077"/>
      <w:bookmarkEnd w:id="152"/>
      <w:bookmarkStart w:id="153" w:name="_Toc259515189"/>
      <w:bookmarkEnd w:id="153"/>
      <w:bookmarkStart w:id="154" w:name="_Toc259515187"/>
      <w:bookmarkEnd w:id="154"/>
      <w:bookmarkStart w:id="155" w:name="_Toc259457374"/>
      <w:bookmarkEnd w:id="155"/>
      <w:bookmarkStart w:id="156" w:name="_Toc258827549"/>
      <w:bookmarkEnd w:id="156"/>
      <w:bookmarkStart w:id="157" w:name="_Toc260929134"/>
      <w:bookmarkEnd w:id="157"/>
      <w:bookmarkStart w:id="158" w:name="_Toc259455078"/>
      <w:bookmarkEnd w:id="158"/>
      <w:bookmarkStart w:id="159" w:name="_Toc259455884"/>
      <w:bookmarkEnd w:id="159"/>
      <w:bookmarkStart w:id="160" w:name="_Toc260929139"/>
      <w:bookmarkEnd w:id="160"/>
      <w:bookmarkStart w:id="161" w:name="_Toc259458841"/>
      <w:bookmarkEnd w:id="161"/>
      <w:bookmarkStart w:id="162" w:name="_Toc258827667"/>
      <w:bookmarkEnd w:id="162"/>
      <w:bookmarkStart w:id="163" w:name="_Toc258827665"/>
      <w:bookmarkEnd w:id="163"/>
      <w:bookmarkStart w:id="164" w:name="_Toc258827548"/>
      <w:bookmarkEnd w:id="164"/>
      <w:bookmarkStart w:id="165" w:name="_Toc259515357"/>
      <w:bookmarkEnd w:id="165"/>
      <w:bookmarkStart w:id="166" w:name="_Toc258827430"/>
      <w:bookmarkEnd w:id="166"/>
      <w:bookmarkStart w:id="167" w:name="_Toc260929138"/>
      <w:bookmarkEnd w:id="167"/>
      <w:bookmarkStart w:id="168" w:name="_Toc259515186"/>
      <w:bookmarkEnd w:id="168"/>
      <w:bookmarkStart w:id="169" w:name="_Toc132532520"/>
      <w:bookmarkStart w:id="170" w:name="_Toc270430103"/>
      <w:r>
        <w:rPr>
          <w:rFonts w:hint="eastAsia" w:ascii="宋体" w:hAnsi="宋体" w:eastAsia="宋体" w:cs="宋体"/>
          <w:b/>
          <w:bCs/>
          <w:sz w:val="24"/>
          <w:szCs w:val="24"/>
        </w:rPr>
        <w:t>7. 检验，试验</w:t>
      </w:r>
      <w:bookmarkEnd w:id="169"/>
      <w:r>
        <w:rPr>
          <w:rFonts w:hint="eastAsia" w:ascii="宋体" w:hAnsi="宋体" w:eastAsia="宋体" w:cs="宋体"/>
          <w:b/>
          <w:bCs/>
          <w:sz w:val="24"/>
          <w:szCs w:val="24"/>
        </w:rPr>
        <w:t>及验收</w:t>
      </w:r>
      <w:bookmarkEnd w:id="170"/>
    </w:p>
    <w:p>
      <w:pPr>
        <w:spacing w:after="120" w:afterLines="50" w:line="360" w:lineRule="auto"/>
        <w:rPr>
          <w:rFonts w:hint="eastAsia" w:ascii="宋体" w:hAnsi="宋体" w:eastAsia="宋体" w:cs="宋体"/>
          <w:b w:val="0"/>
          <w:bCs w:val="0"/>
          <w:sz w:val="24"/>
          <w:szCs w:val="24"/>
        </w:rPr>
      </w:pPr>
      <w:bookmarkStart w:id="171" w:name="_Toc270430104"/>
      <w:bookmarkStart w:id="172" w:name="_Toc178417400"/>
      <w:bookmarkStart w:id="173" w:name="_Toc132532521"/>
      <w:r>
        <w:rPr>
          <w:rFonts w:hint="eastAsia" w:ascii="宋体" w:hAnsi="宋体" w:eastAsia="宋体" w:cs="宋体"/>
          <w:b w:val="0"/>
          <w:bCs w:val="0"/>
          <w:sz w:val="24"/>
          <w:szCs w:val="24"/>
        </w:rPr>
        <w:t>7.1通则</w:t>
      </w:r>
      <w:bookmarkEnd w:id="171"/>
    </w:p>
    <w:bookmarkEnd w:id="172"/>
    <w:bookmarkEnd w:id="173"/>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检验和试验应根据招标人的技术规定、数据表和经买方审核过的图纸进行。上述文件应为最新版次。</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当本规定的某项内容不可行时，投标人应在设备制造之前提出详细的替代检验程序并提交给招标人审查。</w:t>
      </w:r>
    </w:p>
    <w:p>
      <w:pPr>
        <w:spacing w:after="120" w:afterLines="5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7.2见证试验和检验</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投标人根据招标人提交的试验和检验程序，确定招标人的见证试验和检验。</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投标人应在合同生效后2周之内，向招标人提交全部试验和检验的详细程序，包括监测参数的验收准则供招标人评审之用。</w:t>
      </w:r>
    </w:p>
    <w:p>
      <w:pPr>
        <w:spacing w:after="120" w:afterLines="50"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7.3检验和试验项目、程序和验收标准</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设备应进行工厂试验和现场试验，以证实材料、工艺及性能满足所采用的标准及本规范书的要求。投标人应严格按照所采用的标准、规范制定出一套完整的检验、试验和验收的准则，并应以书面的形式随报价书提交招标人，以供招标人审阅并提出意见。投标人在设备加工过程中必须按照国家标准规范及相关的工厂标准进行检验、试验，不合格品不得进入后续工序。各部件组装前，应进行零件检查，不合格零件不允许组装。组装过程中必须按有关标准进行检查，所有检查项目的结果必须满足有关要求。各项检验、试验活动，投标人均应向招标人提交检验或试验报告。某项检验、试验不能满足标准、规范及性能要求时，投标人应自费进行调整、修改和补充，直至满足要求为止。</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重要的部件试运见证和质量控制活动应提前三周书面通知邀请招标人代表参加。招标人有权参加由制造厂商所进行的试验和检验，并分析、纠正与招标人要求不一致的方面；设备制造完成后，须经招标人现场检验合格并批准后方可出厂发运,招标人代表对试运的见证并不表示可以免除投标人在后续工作中的责任。</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最终检验与验收在投标人完成现场设备安装后，现场完成。</w:t>
      </w:r>
    </w:p>
    <w:p>
      <w:pPr>
        <w:spacing w:before="120" w:beforeLines="50" w:after="120" w:afterLines="50" w:line="360" w:lineRule="auto"/>
        <w:rPr>
          <w:rFonts w:hint="eastAsia" w:ascii="宋体" w:hAnsi="宋体" w:eastAsia="宋体" w:cs="宋体"/>
          <w:b/>
          <w:bCs/>
          <w:sz w:val="24"/>
          <w:szCs w:val="24"/>
        </w:rPr>
      </w:pPr>
      <w:bookmarkStart w:id="174" w:name="_Toc270430106"/>
      <w:bookmarkStart w:id="175" w:name="_Toc132532523"/>
      <w:r>
        <w:rPr>
          <w:rFonts w:hint="eastAsia" w:ascii="宋体" w:hAnsi="宋体" w:eastAsia="宋体" w:cs="宋体"/>
          <w:b/>
          <w:bCs/>
          <w:sz w:val="24"/>
          <w:szCs w:val="24"/>
        </w:rPr>
        <w:t>8. 油漆、标志、包装及运输</w:t>
      </w:r>
      <w:bookmarkEnd w:id="174"/>
      <w:bookmarkEnd w:id="175"/>
    </w:p>
    <w:p>
      <w:pPr>
        <w:spacing w:after="120" w:afterLines="50" w:line="360" w:lineRule="auto"/>
        <w:rPr>
          <w:rFonts w:hint="eastAsia" w:ascii="宋体" w:hAnsi="宋体" w:eastAsia="宋体" w:cs="宋体"/>
          <w:b w:val="0"/>
          <w:bCs w:val="0"/>
          <w:sz w:val="24"/>
          <w:szCs w:val="24"/>
        </w:rPr>
      </w:pPr>
      <w:bookmarkStart w:id="176" w:name="_Toc270430107"/>
      <w:bookmarkStart w:id="177" w:name="_Toc254855014"/>
      <w:bookmarkStart w:id="178" w:name="_Toc132532524"/>
      <w:r>
        <w:rPr>
          <w:rFonts w:hint="eastAsia" w:ascii="宋体" w:hAnsi="宋体" w:eastAsia="宋体" w:cs="宋体"/>
          <w:b w:val="0"/>
          <w:bCs w:val="0"/>
          <w:sz w:val="24"/>
          <w:szCs w:val="24"/>
        </w:rPr>
        <w:t>8.1油漆</w:t>
      </w:r>
      <w:bookmarkEnd w:id="176"/>
      <w:bookmarkEnd w:id="177"/>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请按照《外防腐设计规定》、《涂色规定》执行。若制造厂有建议和其它要求请在偏离表（附表）中列出。</w:t>
      </w:r>
    </w:p>
    <w:bookmarkEnd w:id="178"/>
    <w:p>
      <w:pPr>
        <w:spacing w:after="120" w:afterLines="50" w:line="360" w:lineRule="auto"/>
        <w:rPr>
          <w:rFonts w:hint="eastAsia" w:ascii="宋体" w:hAnsi="宋体" w:eastAsia="宋体" w:cs="宋体"/>
          <w:b w:val="0"/>
          <w:bCs w:val="0"/>
          <w:sz w:val="24"/>
          <w:szCs w:val="24"/>
        </w:rPr>
      </w:pPr>
      <w:bookmarkStart w:id="179" w:name="_Toc260811950"/>
      <w:bookmarkEnd w:id="179"/>
      <w:bookmarkStart w:id="180" w:name="_Toc260728037"/>
      <w:bookmarkEnd w:id="180"/>
      <w:bookmarkStart w:id="181" w:name="_Toc260929154"/>
      <w:bookmarkEnd w:id="181"/>
      <w:bookmarkStart w:id="182" w:name="_Toc260811953"/>
      <w:bookmarkEnd w:id="182"/>
      <w:bookmarkStart w:id="183" w:name="_Toc260929152"/>
      <w:bookmarkEnd w:id="183"/>
      <w:bookmarkStart w:id="184" w:name="_Toc260728038"/>
      <w:bookmarkEnd w:id="184"/>
      <w:bookmarkStart w:id="185" w:name="_Toc260728044"/>
      <w:bookmarkEnd w:id="185"/>
      <w:bookmarkStart w:id="186" w:name="_Toc260929147"/>
      <w:bookmarkEnd w:id="186"/>
      <w:bookmarkStart w:id="187" w:name="_Toc260929155"/>
      <w:bookmarkEnd w:id="187"/>
      <w:bookmarkStart w:id="188" w:name="_Toc260811949"/>
      <w:bookmarkEnd w:id="188"/>
      <w:bookmarkStart w:id="189" w:name="_Toc260811956"/>
      <w:bookmarkEnd w:id="189"/>
      <w:bookmarkStart w:id="190" w:name="_Toc260929149"/>
      <w:bookmarkEnd w:id="190"/>
      <w:bookmarkStart w:id="191" w:name="_Toc260728043"/>
      <w:bookmarkEnd w:id="191"/>
      <w:bookmarkStart w:id="192" w:name="_Toc260811951"/>
      <w:bookmarkEnd w:id="192"/>
      <w:bookmarkStart w:id="193" w:name="_Toc260811957"/>
      <w:bookmarkEnd w:id="193"/>
      <w:bookmarkStart w:id="194" w:name="_Toc260929151"/>
      <w:bookmarkEnd w:id="194"/>
      <w:bookmarkStart w:id="195" w:name="_Toc260811948"/>
      <w:bookmarkEnd w:id="195"/>
      <w:bookmarkStart w:id="196" w:name="_Toc260811955"/>
      <w:bookmarkEnd w:id="196"/>
      <w:bookmarkStart w:id="197" w:name="_Toc260728046"/>
      <w:bookmarkEnd w:id="197"/>
      <w:bookmarkStart w:id="198" w:name="_Toc260728045"/>
      <w:bookmarkEnd w:id="198"/>
      <w:bookmarkStart w:id="199" w:name="_Toc260728040"/>
      <w:bookmarkEnd w:id="199"/>
      <w:bookmarkStart w:id="200" w:name="_Toc260811954"/>
      <w:bookmarkEnd w:id="200"/>
      <w:bookmarkStart w:id="201" w:name="_Toc260929146"/>
      <w:bookmarkEnd w:id="201"/>
      <w:bookmarkStart w:id="202" w:name="_Toc260728039"/>
      <w:bookmarkEnd w:id="202"/>
      <w:bookmarkStart w:id="203" w:name="_Toc260929153"/>
      <w:bookmarkEnd w:id="203"/>
      <w:bookmarkStart w:id="204" w:name="_Toc260929148"/>
      <w:bookmarkEnd w:id="204"/>
      <w:bookmarkStart w:id="205" w:name="_Toc260728042"/>
      <w:bookmarkEnd w:id="205"/>
      <w:bookmarkStart w:id="206" w:name="_Toc270430109"/>
      <w:bookmarkStart w:id="207" w:name="_Toc132532526"/>
      <w:r>
        <w:rPr>
          <w:rFonts w:hint="eastAsia" w:ascii="宋体" w:hAnsi="宋体" w:eastAsia="宋体" w:cs="宋体"/>
          <w:b w:val="0"/>
          <w:bCs w:val="0"/>
          <w:sz w:val="24"/>
          <w:szCs w:val="24"/>
        </w:rPr>
        <w:t>8.2包装及运输</w:t>
      </w:r>
      <w:bookmarkEnd w:id="206"/>
      <w:bookmarkEnd w:id="207"/>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8.2.1除尘系统设备包装应符合GB/T 13384-2008《机电产品包装通用技术条件》的规定,其中传动装置以及电气设备必须用封闭箱包装。</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8.2.2所有部件应加以适当的包装和固定以防在运输过程中可能发生的损坏。</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8.2.3发运前投标人应清洗所有的部件并对其做适当的防腐处理和必要的保护措施，以保证机组发运到现场后在不采取另外的保护措施的条件下至少可以存放6个月而不会产生任何损坏。</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8.2.4投标人对其产品在现场的贮存保管提出明确的要求。</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8.2.5投标人应最大限度的完成工厂组装，以保证设备的质量减少现场组装工作量。招标人应提供详细的设备交货状态列表供招标人审查。</w:t>
      </w:r>
    </w:p>
    <w:p>
      <w:pPr>
        <w:tabs>
          <w:tab w:val="left" w:pos="1560"/>
        </w:tabs>
        <w:adjustRightInd w:val="0"/>
        <w:snapToGrid w:val="0"/>
        <w:spacing w:line="360" w:lineRule="auto"/>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8.2.6出厂资料</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 1 \* GB3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①</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装箱单；</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 2 \* GB3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②</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由投标人制造厂检验人员签署各项检验报告及数据；</w:t>
      </w:r>
    </w:p>
    <w:p>
      <w:pPr>
        <w:tabs>
          <w:tab w:val="left" w:pos="1560"/>
        </w:tabs>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 3 \* GB3 </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③</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产品质量合格证。</w:t>
      </w:r>
    </w:p>
    <w:p>
      <w:pPr>
        <w:spacing w:before="120" w:beforeLines="50" w:after="120" w:afterLines="50" w:line="360" w:lineRule="auto"/>
        <w:rPr>
          <w:rFonts w:hint="eastAsia" w:ascii="宋体" w:hAnsi="宋体" w:eastAsia="宋体" w:cs="宋体"/>
          <w:b/>
          <w:bCs/>
          <w:sz w:val="24"/>
          <w:szCs w:val="24"/>
        </w:rPr>
      </w:pPr>
      <w:r>
        <w:rPr>
          <w:rFonts w:hint="eastAsia" w:ascii="宋体" w:hAnsi="宋体" w:eastAsia="宋体" w:cs="宋体"/>
          <w:b/>
          <w:bCs/>
          <w:sz w:val="24"/>
          <w:szCs w:val="24"/>
        </w:rPr>
        <w:t>9. 技术资料和交付进度</w:t>
      </w:r>
    </w:p>
    <w:p>
      <w:pPr>
        <w:spacing w:after="120" w:afterLines="50" w:line="360" w:lineRule="auto"/>
        <w:rPr>
          <w:rFonts w:hint="eastAsia" w:ascii="宋体" w:hAnsi="宋体" w:eastAsia="宋体" w:cs="宋体"/>
          <w:b w:val="0"/>
          <w:bCs w:val="0"/>
          <w:sz w:val="24"/>
          <w:szCs w:val="24"/>
        </w:rPr>
      </w:pPr>
      <w:bookmarkStart w:id="208" w:name="_Toc171936663"/>
      <w:bookmarkStart w:id="209" w:name="_Toc519309271"/>
      <w:bookmarkStart w:id="210" w:name="_Toc171936617"/>
      <w:r>
        <w:rPr>
          <w:rFonts w:hint="eastAsia" w:ascii="宋体" w:hAnsi="宋体" w:eastAsia="宋体" w:cs="宋体"/>
          <w:b w:val="0"/>
          <w:bCs w:val="0"/>
          <w:sz w:val="24"/>
          <w:szCs w:val="24"/>
        </w:rPr>
        <w:t>9.1一般要求</w:t>
      </w:r>
      <w:bookmarkEnd w:id="208"/>
      <w:bookmarkEnd w:id="209"/>
      <w:bookmarkEnd w:id="210"/>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9.1.1资料的组织结构清晰、逻辑性强。资料内容正确、准确、一致、清晰完整，满足工程要求。</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9.1.2投标人资料的提交应及时、充分，满足工程进度要求。在接到中标通知后，5天内提出满足设备基础处理的正式资料，10内给出全部技术资料和交付进度清单，并经招标方确认。投标方应在合同生效日起1个月内，向招标方提供合同设备的监造、设计、制造和检验标准的目录。</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9.1.3投标方提供的技术资料分为投标阶段，配合设计阶段，设备监造检验、施工调试试运、性能试验验收和运行维护等四个方面。投标方须满足以上四个方面的具体要求。</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9.1.4对于其它没有列入合同技术资料清单，却是工程所必需文件和资料，一经发现，投标人应及时免费提供。如本期工程为多台设备构成，后续设备有改进时，投标方也应及时免费提供新的技术资料。</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9.1.5招标人要及时提供与合同设备设计制造有关的资料。</w:t>
      </w:r>
    </w:p>
    <w:p>
      <w:pPr>
        <w:spacing w:after="120" w:afterLines="50" w:line="360" w:lineRule="auto"/>
        <w:rPr>
          <w:rFonts w:hint="eastAsia" w:ascii="宋体" w:hAnsi="宋体" w:eastAsia="宋体" w:cs="宋体"/>
          <w:b w:val="0"/>
          <w:bCs w:val="0"/>
          <w:sz w:val="24"/>
          <w:szCs w:val="24"/>
        </w:rPr>
      </w:pPr>
      <w:bookmarkStart w:id="211" w:name="_Toc519309272"/>
      <w:bookmarkStart w:id="212" w:name="_Toc171936664"/>
      <w:bookmarkStart w:id="213" w:name="_Toc171936618"/>
      <w:r>
        <w:rPr>
          <w:rFonts w:hint="eastAsia" w:ascii="宋体" w:hAnsi="宋体" w:eastAsia="宋体" w:cs="宋体"/>
          <w:b w:val="0"/>
          <w:bCs w:val="0"/>
          <w:sz w:val="24"/>
          <w:szCs w:val="24"/>
        </w:rPr>
        <w:t>9.2资料提交的基本要求</w:t>
      </w:r>
      <w:bookmarkEnd w:id="211"/>
      <w:bookmarkEnd w:id="212"/>
      <w:bookmarkEnd w:id="213"/>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9.2.1提供设备安装、调试和试运说明书，以及组装、拆卸时所需用的技术资料。</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9.2.2安装、运行、维护、检修所需详尽图纸和的技术资料(包括设备总图、部件总图、分图和必要的零件图、计算资料等)。</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9.2.3设备安装、运行、维护、检修说明书(包括设备结构特点、安装程序和工艺要求、启动调试要领、运行操作规定和控制数据、定期校验和维护说明等)。</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9.2.4投标方提供的其它技术资料(招标方提供具体清单和要求，投标方细化，招标人确认)。</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9.2.5检验记录、试验报告及质量合格证等出厂报告。</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9.2.6投标方提供在设计、制造时所遵循的规范、标准和规程清单。</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9.2.7设备和备品管理资料文件(包括设备和备品备件发运和装箱的详细资料，设备和备品备件存放与保管的技术要求，运输超重超大件的明细表和外形图)。</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9.2.8详细的产品质量文件(包括材质、材质检验、焊接、热处理、加工质量、外形尺寸和性能检验/试验等)的证明。</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9.2.9投标方所供所有设备必须附带设备说明书、质量检验合格证等相关资料，对于进口部件及设备须提供原产地证明，对于压力容器及压力部件应提供相关的检验资料。</w:t>
      </w:r>
    </w:p>
    <w:p>
      <w:pPr>
        <w:spacing w:after="120" w:afterLines="50" w:line="360" w:lineRule="auto"/>
        <w:rPr>
          <w:rFonts w:hint="eastAsia" w:ascii="宋体" w:hAnsi="宋体" w:eastAsia="宋体" w:cs="宋体"/>
          <w:b/>
          <w:bCs/>
          <w:sz w:val="24"/>
          <w:szCs w:val="24"/>
        </w:rPr>
      </w:pPr>
      <w:r>
        <w:rPr>
          <w:rFonts w:hint="eastAsia" w:ascii="宋体" w:hAnsi="宋体" w:eastAsia="宋体" w:cs="宋体"/>
          <w:b/>
          <w:bCs/>
          <w:sz w:val="24"/>
          <w:szCs w:val="24"/>
        </w:rPr>
        <w:t>10 技术服务和联络</w:t>
      </w:r>
    </w:p>
    <w:p>
      <w:pPr>
        <w:adjustRightInd w:val="0"/>
        <w:snapToGrid w:val="0"/>
        <w:spacing w:line="360" w:lineRule="auto"/>
        <w:rPr>
          <w:rFonts w:hint="eastAsia" w:ascii="宋体" w:hAnsi="宋体" w:eastAsia="宋体" w:cs="宋体"/>
          <w:kern w:val="0"/>
          <w:sz w:val="24"/>
          <w:szCs w:val="24"/>
        </w:rPr>
      </w:pPr>
      <w:bookmarkStart w:id="214" w:name="_Toc99814338"/>
      <w:bookmarkStart w:id="215" w:name="_Toc82272386"/>
      <w:bookmarkStart w:id="216" w:name="_Toc82272092"/>
      <w:bookmarkStart w:id="217" w:name="_Toc81171486"/>
      <w:r>
        <w:rPr>
          <w:rFonts w:hint="eastAsia" w:ascii="宋体" w:hAnsi="宋体" w:eastAsia="宋体" w:cs="宋体"/>
          <w:kern w:val="0"/>
          <w:sz w:val="24"/>
          <w:szCs w:val="24"/>
        </w:rPr>
        <w:t>10.1投标人技术人员的派遣</w:t>
      </w:r>
      <w:bookmarkEnd w:id="214"/>
      <w:bookmarkEnd w:id="215"/>
      <w:bookmarkEnd w:id="216"/>
      <w:bookmarkEnd w:id="217"/>
    </w:p>
    <w:p>
      <w:pPr>
        <w:adjustRightInd w:val="0"/>
        <w:snapToGrid w:val="0"/>
        <w:spacing w:line="360" w:lineRule="auto"/>
        <w:ind w:firstLine="360" w:firstLineChars="150"/>
        <w:rPr>
          <w:rFonts w:hint="eastAsia" w:ascii="宋体" w:hAnsi="宋体" w:eastAsia="宋体" w:cs="宋体"/>
          <w:kern w:val="0"/>
          <w:sz w:val="24"/>
          <w:szCs w:val="24"/>
        </w:rPr>
      </w:pPr>
      <w:r>
        <w:rPr>
          <w:rFonts w:hint="eastAsia" w:ascii="宋体" w:hAnsi="宋体" w:eastAsia="宋体" w:cs="宋体"/>
          <w:kern w:val="0"/>
          <w:sz w:val="24"/>
          <w:szCs w:val="24"/>
        </w:rPr>
        <w:t>为了使除尘系统的设备安装、调试运行和考核验收的顺利进行，投标人应向招标人派遣技术熟练的、身体健康的、称职的技术人员到项目现场进行技术服务。</w:t>
      </w:r>
    </w:p>
    <w:p>
      <w:pPr>
        <w:adjustRightInd w:val="0"/>
        <w:snapToGrid w:val="0"/>
        <w:spacing w:line="360" w:lineRule="auto"/>
        <w:rPr>
          <w:rFonts w:hint="eastAsia" w:ascii="宋体" w:hAnsi="宋体" w:eastAsia="宋体" w:cs="宋体"/>
          <w:kern w:val="0"/>
          <w:sz w:val="24"/>
          <w:szCs w:val="24"/>
        </w:rPr>
      </w:pPr>
      <w:bookmarkStart w:id="218" w:name="_Toc81171487"/>
      <w:bookmarkStart w:id="219" w:name="_Toc82272387"/>
      <w:bookmarkStart w:id="220" w:name="_Toc82272093"/>
      <w:bookmarkStart w:id="221" w:name="_Toc99814339"/>
      <w:r>
        <w:rPr>
          <w:rFonts w:hint="eastAsia" w:ascii="宋体" w:hAnsi="宋体" w:eastAsia="宋体" w:cs="宋体"/>
          <w:kern w:val="0"/>
          <w:sz w:val="24"/>
          <w:szCs w:val="24"/>
        </w:rPr>
        <w:t>10.2投标人技术人员的职责和义务</w:t>
      </w:r>
      <w:bookmarkEnd w:id="218"/>
      <w:bookmarkEnd w:id="219"/>
      <w:bookmarkEnd w:id="220"/>
      <w:bookmarkEnd w:id="221"/>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10.2.1投标人应在所派遣的人员中指定一名为合同现场的总代表，全面负责本项目范围内总的技术任务，并与招标人现场合作协商，解决有关工作和技术问题。 </w:t>
      </w: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10.2.2投标人的技术人员将代表投标人提供合同规定的有关安装、调试运转、系统运行和考核验收等方面的技术服务。</w:t>
      </w: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10.2.3投标人应做到技术指导正确。如因指导错误所造成的“设备”的损失，应由投标人负责更换、修理和补齐，费用由投标人承担。</w:t>
      </w:r>
      <w:bookmarkStart w:id="222" w:name="_Toc82272390"/>
      <w:bookmarkStart w:id="223" w:name="_Toc82272096"/>
      <w:bookmarkStart w:id="224" w:name="_Toc99814342"/>
      <w:bookmarkStart w:id="225" w:name="_Toc81171490"/>
    </w:p>
    <w:bookmarkEnd w:id="222"/>
    <w:bookmarkEnd w:id="223"/>
    <w:bookmarkEnd w:id="224"/>
    <w:bookmarkEnd w:id="225"/>
    <w:p>
      <w:pPr>
        <w:spacing w:after="120" w:afterLines="50" w:line="360" w:lineRule="auto"/>
        <w:rPr>
          <w:rFonts w:hint="eastAsia" w:ascii="宋体" w:hAnsi="宋体" w:eastAsia="宋体" w:cs="宋体"/>
          <w:b/>
          <w:bCs/>
          <w:sz w:val="24"/>
          <w:szCs w:val="24"/>
        </w:rPr>
      </w:pPr>
      <w:r>
        <w:rPr>
          <w:rFonts w:hint="eastAsia" w:ascii="宋体" w:hAnsi="宋体" w:eastAsia="宋体" w:cs="宋体"/>
          <w:b/>
          <w:bCs/>
          <w:sz w:val="24"/>
          <w:szCs w:val="24"/>
        </w:rPr>
        <w:t>11. 其它要求</w:t>
      </w: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11.1招标文件中未提出的各种规格参数，将会对投标货物产生影响的，投标人在投标时必须明确提出；</w:t>
      </w: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11.2投标人提供的投标文件必须包含“技术协议偏离表”和“商务条款偏离表”，并针对本招标文件中的各项要求按序逐项填写，不能用“无偏离”简单概括，否则将导致废标；</w:t>
      </w: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11.3投标人所提供的投标文件与招标文件中的要求如有任何偏差，都应在偏离表中列出。若未在偏离表中列出，即使在投标文件其他地方写明与招标文件要求有所不同，招标人也认为符合招标文件要求。投标人中标后如据此提出疑义，不履行签订合同等下一步工作，招标人有权没收其投标保证金；</w:t>
      </w: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11.4投标人应对招标文件中没有规定，而投标人认为是需要配套提供的所有附属设备和零部件加以说明，其费用应分项报价，以供招标选用，该部分价格不包含在投标总价中。</w:t>
      </w:r>
    </w:p>
    <w:p>
      <w:pPr>
        <w:spacing w:after="120" w:afterLines="50" w:line="360" w:lineRule="auto"/>
        <w:rPr>
          <w:rFonts w:hint="eastAsia" w:ascii="宋体" w:hAnsi="宋体" w:eastAsia="宋体" w:cs="宋体"/>
          <w:b/>
          <w:bCs/>
          <w:sz w:val="24"/>
          <w:szCs w:val="24"/>
        </w:rPr>
      </w:pPr>
      <w:r>
        <w:rPr>
          <w:rFonts w:hint="eastAsia" w:ascii="宋体" w:hAnsi="宋体" w:eastAsia="宋体" w:cs="宋体"/>
          <w:b/>
          <w:bCs/>
          <w:sz w:val="24"/>
          <w:szCs w:val="24"/>
        </w:rPr>
        <w:t>12. 售后服务</w:t>
      </w: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12.1投标人应提供售后服务的就近网点，售后服务的负责人，联系方式；</w:t>
      </w: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12.2招标人在日后生产过程中出现的故障，招标人不能自行解决，联系售后服务，投标人的服务人员应在接到通知后省内有服务人员应在12小时内到达现场，省外有服务人员的应在24小时内到达现场。</w:t>
      </w:r>
    </w:p>
    <w:p>
      <w:pPr>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12.3质保期内的售后服务所产生所有费用由投标人负责；质保期过后投标人应定期回访，进行维护指导。</w:t>
      </w: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jc w:val="left"/>
        <w:rPr>
          <w:rFonts w:hint="default" w:ascii="宋体" w:hAnsi="Arial" w:eastAsia="仿宋_GB2312" w:cs="Arial"/>
          <w:szCs w:val="21"/>
          <w:lang w:val="en-US" w:eastAsia="zh-CN"/>
        </w:rPr>
      </w:pPr>
      <w:r>
        <w:rPr>
          <w:rFonts w:hint="eastAsia" w:eastAsia="仿宋_GB2312" w:cs="仿宋_GB2312"/>
          <w:b/>
          <w:bCs/>
          <w:sz w:val="28"/>
          <w:szCs w:val="28"/>
        </w:rPr>
        <w:t>1</w:t>
      </w:r>
      <w:r>
        <w:rPr>
          <w:rFonts w:hint="eastAsia" w:eastAsia="仿宋_GB2312" w:cs="仿宋_GB2312"/>
          <w:b/>
          <w:bCs/>
          <w:sz w:val="28"/>
          <w:szCs w:val="28"/>
          <w:lang w:val="en-US" w:eastAsia="zh-CN"/>
        </w:rPr>
        <w:t>3</w:t>
      </w:r>
      <w:r>
        <w:rPr>
          <w:rFonts w:hint="eastAsia" w:eastAsia="仿宋_GB2312" w:cs="仿宋_GB2312"/>
          <w:b/>
          <w:bCs/>
          <w:sz w:val="28"/>
          <w:szCs w:val="28"/>
        </w:rPr>
        <w:t xml:space="preserve">. </w:t>
      </w:r>
      <w:r>
        <w:rPr>
          <w:rFonts w:hint="eastAsia" w:eastAsia="仿宋_GB2312" w:cs="仿宋_GB2312"/>
          <w:b/>
          <w:bCs/>
          <w:sz w:val="28"/>
          <w:szCs w:val="28"/>
          <w:lang w:val="en-US" w:eastAsia="zh-CN"/>
        </w:rPr>
        <w:t>图纸附件</w:t>
      </w:r>
    </w:p>
    <w:p>
      <w:pPr>
        <w:adjustRightInd w:val="0"/>
        <w:snapToGrid w:val="0"/>
        <w:spacing w:line="360" w:lineRule="auto"/>
        <w:jc w:val="left"/>
        <w:rPr>
          <w:rFonts w:ascii="仿宋_GB2312" w:hAnsi="宋体" w:eastAsia="仿宋_GB2312"/>
          <w:szCs w:val="21"/>
          <w:lang w:val="en-US" w:eastAsia="zh-CN"/>
        </w:rPr>
      </w:pPr>
      <w:r>
        <w:rPr>
          <w:rFonts w:ascii="仿宋_GB2312" w:hAnsi="宋体" w:eastAsia="仿宋_GB2312"/>
          <w:szCs w:val="21"/>
          <w:lang w:val="en-US" w:eastAsia="zh-CN"/>
        </w:rPr>
        <w:drawing>
          <wp:inline distT="0" distB="0" distL="114300" distR="114300">
            <wp:extent cx="5758180" cy="2638425"/>
            <wp:effectExtent l="0" t="0" r="4445" b="0"/>
            <wp:docPr id="8" name="图片 8"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1"/>
                    <pic:cNvPicPr>
                      <a:picLocks noChangeAspect="1"/>
                    </pic:cNvPicPr>
                  </pic:nvPicPr>
                  <pic:blipFill>
                    <a:blip r:embed="rId7"/>
                    <a:stretch>
                      <a:fillRect/>
                    </a:stretch>
                  </pic:blipFill>
                  <pic:spPr>
                    <a:xfrm>
                      <a:off x="0" y="0"/>
                      <a:ext cx="5758180" cy="2638425"/>
                    </a:xfrm>
                    <a:prstGeom prst="rect">
                      <a:avLst/>
                    </a:prstGeom>
                  </pic:spPr>
                </pic:pic>
              </a:graphicData>
            </a:graphic>
          </wp:inline>
        </w:drawing>
      </w:r>
    </w:p>
    <w:p>
      <w:pPr>
        <w:adjustRightInd w:val="0"/>
        <w:snapToGrid w:val="0"/>
        <w:spacing w:line="360" w:lineRule="auto"/>
        <w:jc w:val="left"/>
        <w:rPr>
          <w:rFonts w:ascii="仿宋_GB2312" w:hAnsi="宋体" w:eastAsia="仿宋_GB2312"/>
          <w:szCs w:val="21"/>
          <w:lang w:val="en-US" w:eastAsia="zh-CN"/>
        </w:rPr>
      </w:pPr>
      <w:r>
        <w:rPr>
          <w:rFonts w:ascii="仿宋_GB2312" w:hAnsi="宋体" w:eastAsia="仿宋_GB2312"/>
          <w:szCs w:val="21"/>
          <w:lang w:val="en-US" w:eastAsia="zh-CN"/>
        </w:rPr>
        <w:drawing>
          <wp:inline distT="0" distB="0" distL="114300" distR="114300">
            <wp:extent cx="5746115" cy="1684020"/>
            <wp:effectExtent l="0" t="0" r="6985" b="1905"/>
            <wp:docPr id="6" name="图片 6"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2"/>
                    <pic:cNvPicPr>
                      <a:picLocks noChangeAspect="1"/>
                    </pic:cNvPicPr>
                  </pic:nvPicPr>
                  <pic:blipFill>
                    <a:blip r:embed="rId8"/>
                    <a:stretch>
                      <a:fillRect/>
                    </a:stretch>
                  </pic:blipFill>
                  <pic:spPr>
                    <a:xfrm>
                      <a:off x="0" y="0"/>
                      <a:ext cx="5746115" cy="1684020"/>
                    </a:xfrm>
                    <a:prstGeom prst="rect">
                      <a:avLst/>
                    </a:prstGeom>
                  </pic:spPr>
                </pic:pic>
              </a:graphicData>
            </a:graphic>
          </wp:inline>
        </w:drawing>
      </w:r>
    </w:p>
    <w:p>
      <w:pPr>
        <w:adjustRightInd w:val="0"/>
        <w:snapToGrid w:val="0"/>
        <w:spacing w:line="360" w:lineRule="auto"/>
        <w:jc w:val="left"/>
        <w:rPr>
          <w:rFonts w:ascii="仿宋_GB2312" w:hAnsi="宋体" w:eastAsia="仿宋_GB2312"/>
          <w:szCs w:val="21"/>
          <w:lang w:val="en-US" w:eastAsia="zh-CN"/>
        </w:rPr>
      </w:pPr>
      <w:r>
        <w:rPr>
          <w:rFonts w:ascii="仿宋_GB2312" w:hAnsi="宋体" w:eastAsia="仿宋_GB2312"/>
          <w:szCs w:val="21"/>
          <w:lang w:val="en-US" w:eastAsia="zh-CN"/>
        </w:rPr>
        <w:drawing>
          <wp:inline distT="0" distB="0" distL="114300" distR="114300">
            <wp:extent cx="5752465" cy="2341880"/>
            <wp:effectExtent l="0" t="0" r="635" b="1270"/>
            <wp:docPr id="4" name="图片 4"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3"/>
                    <pic:cNvPicPr>
                      <a:picLocks noChangeAspect="1"/>
                    </pic:cNvPicPr>
                  </pic:nvPicPr>
                  <pic:blipFill>
                    <a:blip r:embed="rId9"/>
                    <a:stretch>
                      <a:fillRect/>
                    </a:stretch>
                  </pic:blipFill>
                  <pic:spPr>
                    <a:xfrm>
                      <a:off x="0" y="0"/>
                      <a:ext cx="5752465" cy="2341880"/>
                    </a:xfrm>
                    <a:prstGeom prst="rect">
                      <a:avLst/>
                    </a:prstGeom>
                  </pic:spPr>
                </pic:pic>
              </a:graphicData>
            </a:graphic>
          </wp:inline>
        </w:drawing>
      </w:r>
      <w:r>
        <w:rPr>
          <w:rFonts w:ascii="仿宋_GB2312" w:hAnsi="宋体" w:eastAsia="仿宋_GB2312"/>
          <w:szCs w:val="21"/>
          <w:lang w:val="en-US" w:eastAsia="zh-CN"/>
        </w:rPr>
        <w:drawing>
          <wp:inline distT="0" distB="0" distL="114300" distR="114300">
            <wp:extent cx="5758815" cy="2256790"/>
            <wp:effectExtent l="0" t="0" r="3810" b="635"/>
            <wp:docPr id="3" name="图片 3"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4"/>
                    <pic:cNvPicPr>
                      <a:picLocks noChangeAspect="1"/>
                    </pic:cNvPicPr>
                  </pic:nvPicPr>
                  <pic:blipFill>
                    <a:blip r:embed="rId10"/>
                    <a:stretch>
                      <a:fillRect/>
                    </a:stretch>
                  </pic:blipFill>
                  <pic:spPr>
                    <a:xfrm>
                      <a:off x="0" y="0"/>
                      <a:ext cx="5758815" cy="2256790"/>
                    </a:xfrm>
                    <a:prstGeom prst="rect">
                      <a:avLst/>
                    </a:prstGeom>
                  </pic:spPr>
                </pic:pic>
              </a:graphicData>
            </a:graphic>
          </wp:inline>
        </w:drawing>
      </w:r>
    </w:p>
    <w:p>
      <w:pPr>
        <w:adjustRightInd w:val="0"/>
        <w:snapToGrid w:val="0"/>
        <w:spacing w:line="360" w:lineRule="auto"/>
        <w:rPr>
          <w:rFonts w:ascii="仿宋_GB2312" w:hAnsi="宋体" w:eastAsia="仿宋_GB2312"/>
          <w:szCs w:val="21"/>
          <w:lang w:val="en-US" w:eastAsia="zh-CN"/>
        </w:rPr>
      </w:pPr>
    </w:p>
    <w:sectPr>
      <w:pgSz w:w="11906" w:h="16838"/>
      <w:pgMar w:top="1440"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3"/>
      </w:rPr>
    </w:pPr>
    <w:r>
      <w:rPr>
        <w:sz w:val="1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99D1D"/>
    <w:multiLevelType w:val="multilevel"/>
    <w:tmpl w:val="CD699D1D"/>
    <w:lvl w:ilvl="0" w:tentative="0">
      <w:start w:val="12"/>
      <w:numFmt w:val="decimal"/>
      <w:lvlText w:val="%1"/>
      <w:lvlJc w:val="left"/>
      <w:pPr>
        <w:ind w:left="220" w:hanging="550"/>
        <w:jc w:val="left"/>
      </w:pPr>
      <w:rPr>
        <w:rFonts w:hint="default"/>
        <w:lang w:val="zh-CN" w:eastAsia="zh-CN" w:bidi="zh-CN"/>
      </w:rPr>
    </w:lvl>
    <w:lvl w:ilvl="1" w:tentative="0">
      <w:start w:val="1"/>
      <w:numFmt w:val="decimal"/>
      <w:lvlText w:val="%1.%2"/>
      <w:lvlJc w:val="left"/>
      <w:pPr>
        <w:ind w:left="220" w:hanging="550"/>
        <w:jc w:val="left"/>
      </w:pPr>
      <w:rPr>
        <w:rFonts w:hint="default" w:ascii="新宋体" w:hAnsi="新宋体" w:eastAsia="新宋体" w:cs="新宋体"/>
        <w:spacing w:val="-19"/>
        <w:w w:val="100"/>
        <w:sz w:val="22"/>
        <w:szCs w:val="22"/>
        <w:lang w:val="zh-CN" w:eastAsia="zh-CN" w:bidi="zh-CN"/>
      </w:rPr>
    </w:lvl>
    <w:lvl w:ilvl="2" w:tentative="0">
      <w:start w:val="0"/>
      <w:numFmt w:val="bullet"/>
      <w:lvlText w:val="•"/>
      <w:lvlJc w:val="left"/>
      <w:pPr>
        <w:ind w:left="2138" w:hanging="550"/>
      </w:pPr>
      <w:rPr>
        <w:rFonts w:hint="default"/>
        <w:lang w:val="zh-CN" w:eastAsia="zh-CN" w:bidi="zh-CN"/>
      </w:rPr>
    </w:lvl>
    <w:lvl w:ilvl="3" w:tentative="0">
      <w:start w:val="0"/>
      <w:numFmt w:val="bullet"/>
      <w:lvlText w:val="•"/>
      <w:lvlJc w:val="left"/>
      <w:pPr>
        <w:ind w:left="3097" w:hanging="550"/>
      </w:pPr>
      <w:rPr>
        <w:rFonts w:hint="default"/>
        <w:lang w:val="zh-CN" w:eastAsia="zh-CN" w:bidi="zh-CN"/>
      </w:rPr>
    </w:lvl>
    <w:lvl w:ilvl="4" w:tentative="0">
      <w:start w:val="0"/>
      <w:numFmt w:val="bullet"/>
      <w:lvlText w:val="•"/>
      <w:lvlJc w:val="left"/>
      <w:pPr>
        <w:ind w:left="4056" w:hanging="550"/>
      </w:pPr>
      <w:rPr>
        <w:rFonts w:hint="default"/>
        <w:lang w:val="zh-CN" w:eastAsia="zh-CN" w:bidi="zh-CN"/>
      </w:rPr>
    </w:lvl>
    <w:lvl w:ilvl="5" w:tentative="0">
      <w:start w:val="0"/>
      <w:numFmt w:val="bullet"/>
      <w:lvlText w:val="•"/>
      <w:lvlJc w:val="left"/>
      <w:pPr>
        <w:ind w:left="5015" w:hanging="550"/>
      </w:pPr>
      <w:rPr>
        <w:rFonts w:hint="default"/>
        <w:lang w:val="zh-CN" w:eastAsia="zh-CN" w:bidi="zh-CN"/>
      </w:rPr>
    </w:lvl>
    <w:lvl w:ilvl="6" w:tentative="0">
      <w:start w:val="0"/>
      <w:numFmt w:val="bullet"/>
      <w:lvlText w:val="•"/>
      <w:lvlJc w:val="left"/>
      <w:pPr>
        <w:ind w:left="5974" w:hanging="550"/>
      </w:pPr>
      <w:rPr>
        <w:rFonts w:hint="default"/>
        <w:lang w:val="zh-CN" w:eastAsia="zh-CN" w:bidi="zh-CN"/>
      </w:rPr>
    </w:lvl>
    <w:lvl w:ilvl="7" w:tentative="0">
      <w:start w:val="0"/>
      <w:numFmt w:val="bullet"/>
      <w:lvlText w:val="•"/>
      <w:lvlJc w:val="left"/>
      <w:pPr>
        <w:ind w:left="6933" w:hanging="550"/>
      </w:pPr>
      <w:rPr>
        <w:rFonts w:hint="default"/>
        <w:lang w:val="zh-CN" w:eastAsia="zh-CN" w:bidi="zh-CN"/>
      </w:rPr>
    </w:lvl>
    <w:lvl w:ilvl="8" w:tentative="0">
      <w:start w:val="0"/>
      <w:numFmt w:val="bullet"/>
      <w:lvlText w:val="•"/>
      <w:lvlJc w:val="left"/>
      <w:pPr>
        <w:ind w:left="7892" w:hanging="550"/>
      </w:pPr>
      <w:rPr>
        <w:rFonts w:hint="default"/>
        <w:lang w:val="zh-CN" w:eastAsia="zh-CN" w:bidi="zh-CN"/>
      </w:rPr>
    </w:lvl>
  </w:abstractNum>
  <w:abstractNum w:abstractNumId="1">
    <w:nsid w:val="F4A942FE"/>
    <w:multiLevelType w:val="multilevel"/>
    <w:tmpl w:val="F4A942FE"/>
    <w:lvl w:ilvl="0" w:tentative="0">
      <w:start w:val="1"/>
      <w:numFmt w:val="decimal"/>
      <w:lvlText w:val="（%1）"/>
      <w:lvlJc w:val="left"/>
      <w:pPr>
        <w:ind w:left="93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4" w:hanging="601"/>
      </w:pPr>
      <w:rPr>
        <w:rFonts w:hint="default"/>
        <w:lang w:val="zh-CN" w:eastAsia="zh-CN" w:bidi="zh-CN"/>
      </w:rPr>
    </w:lvl>
    <w:lvl w:ilvl="2" w:tentative="0">
      <w:start w:val="0"/>
      <w:numFmt w:val="bullet"/>
      <w:lvlText w:val="•"/>
      <w:lvlJc w:val="left"/>
      <w:pPr>
        <w:ind w:left="2688" w:hanging="601"/>
      </w:pPr>
      <w:rPr>
        <w:rFonts w:hint="default"/>
        <w:lang w:val="zh-CN" w:eastAsia="zh-CN" w:bidi="zh-CN"/>
      </w:rPr>
    </w:lvl>
    <w:lvl w:ilvl="3" w:tentative="0">
      <w:start w:val="0"/>
      <w:numFmt w:val="bullet"/>
      <w:lvlText w:val="•"/>
      <w:lvlJc w:val="left"/>
      <w:pPr>
        <w:ind w:left="3562" w:hanging="601"/>
      </w:pPr>
      <w:rPr>
        <w:rFonts w:hint="default"/>
        <w:lang w:val="zh-CN" w:eastAsia="zh-CN" w:bidi="zh-CN"/>
      </w:rPr>
    </w:lvl>
    <w:lvl w:ilvl="4" w:tentative="0">
      <w:start w:val="0"/>
      <w:numFmt w:val="bullet"/>
      <w:lvlText w:val="•"/>
      <w:lvlJc w:val="left"/>
      <w:pPr>
        <w:ind w:left="4436" w:hanging="601"/>
      </w:pPr>
      <w:rPr>
        <w:rFonts w:hint="default"/>
        <w:lang w:val="zh-CN" w:eastAsia="zh-CN" w:bidi="zh-CN"/>
      </w:rPr>
    </w:lvl>
    <w:lvl w:ilvl="5" w:tentative="0">
      <w:start w:val="0"/>
      <w:numFmt w:val="bullet"/>
      <w:lvlText w:val="•"/>
      <w:lvlJc w:val="left"/>
      <w:pPr>
        <w:ind w:left="5310" w:hanging="601"/>
      </w:pPr>
      <w:rPr>
        <w:rFonts w:hint="default"/>
        <w:lang w:val="zh-CN" w:eastAsia="zh-CN" w:bidi="zh-CN"/>
      </w:rPr>
    </w:lvl>
    <w:lvl w:ilvl="6" w:tentative="0">
      <w:start w:val="0"/>
      <w:numFmt w:val="bullet"/>
      <w:lvlText w:val="•"/>
      <w:lvlJc w:val="left"/>
      <w:pPr>
        <w:ind w:left="6184" w:hanging="601"/>
      </w:pPr>
      <w:rPr>
        <w:rFonts w:hint="default"/>
        <w:lang w:val="zh-CN" w:eastAsia="zh-CN" w:bidi="zh-CN"/>
      </w:rPr>
    </w:lvl>
    <w:lvl w:ilvl="7" w:tentative="0">
      <w:start w:val="0"/>
      <w:numFmt w:val="bullet"/>
      <w:lvlText w:val="•"/>
      <w:lvlJc w:val="left"/>
      <w:pPr>
        <w:ind w:left="7058" w:hanging="601"/>
      </w:pPr>
      <w:rPr>
        <w:rFonts w:hint="default"/>
        <w:lang w:val="zh-CN" w:eastAsia="zh-CN" w:bidi="zh-CN"/>
      </w:rPr>
    </w:lvl>
    <w:lvl w:ilvl="8" w:tentative="0">
      <w:start w:val="0"/>
      <w:numFmt w:val="bullet"/>
      <w:lvlText w:val="•"/>
      <w:lvlJc w:val="left"/>
      <w:pPr>
        <w:ind w:left="7932" w:hanging="601"/>
      </w:pPr>
      <w:rPr>
        <w:rFonts w:hint="default"/>
        <w:lang w:val="zh-CN" w:eastAsia="zh-CN" w:bidi="zh-CN"/>
      </w:rPr>
    </w:lvl>
  </w:abstractNum>
  <w:abstractNum w:abstractNumId="2">
    <w:nsid w:val="010B3077"/>
    <w:multiLevelType w:val="multilevel"/>
    <w:tmpl w:val="010B3077"/>
    <w:lvl w:ilvl="0" w:tentative="0">
      <w:start w:val="1"/>
      <w:numFmt w:val="decimal"/>
      <w:lvlText w:val="%1."/>
      <w:lvlJc w:val="left"/>
      <w:pPr>
        <w:tabs>
          <w:tab w:val="left" w:pos="360"/>
        </w:tabs>
        <w:ind w:left="360" w:hanging="360"/>
      </w:pPr>
      <w:rPr>
        <w:rFonts w:hint="default" w:eastAsia="黑体" w:cs="Aria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WZkMjNiMDA3Y2VmM2NkODM0YjE4MWYwOTg2ZmQifQ=="/>
    <w:docVar w:name="KSO_WPS_MARK_KEY" w:val="df32aa76-0d45-4502-aef2-00656199029d"/>
  </w:docVars>
  <w:rsids>
    <w:rsidRoot w:val="008F4CE0"/>
    <w:rsid w:val="000210DD"/>
    <w:rsid w:val="0005142A"/>
    <w:rsid w:val="000514E5"/>
    <w:rsid w:val="000835F8"/>
    <w:rsid w:val="000C1E0E"/>
    <w:rsid w:val="000C43E3"/>
    <w:rsid w:val="000C6DF5"/>
    <w:rsid w:val="0010798C"/>
    <w:rsid w:val="00120FD8"/>
    <w:rsid w:val="00134158"/>
    <w:rsid w:val="0014546B"/>
    <w:rsid w:val="001479A1"/>
    <w:rsid w:val="00152C17"/>
    <w:rsid w:val="0018755D"/>
    <w:rsid w:val="001A6114"/>
    <w:rsid w:val="001B09FA"/>
    <w:rsid w:val="001C0D36"/>
    <w:rsid w:val="001E74CD"/>
    <w:rsid w:val="001F1B6A"/>
    <w:rsid w:val="0021495A"/>
    <w:rsid w:val="00220A1D"/>
    <w:rsid w:val="00290970"/>
    <w:rsid w:val="002A2D13"/>
    <w:rsid w:val="00331623"/>
    <w:rsid w:val="0033756D"/>
    <w:rsid w:val="003860B8"/>
    <w:rsid w:val="003D69EE"/>
    <w:rsid w:val="00410641"/>
    <w:rsid w:val="00422F3B"/>
    <w:rsid w:val="004B7FB1"/>
    <w:rsid w:val="004C69AE"/>
    <w:rsid w:val="004E60EA"/>
    <w:rsid w:val="004E6708"/>
    <w:rsid w:val="00506222"/>
    <w:rsid w:val="005751DF"/>
    <w:rsid w:val="00591511"/>
    <w:rsid w:val="005F32EF"/>
    <w:rsid w:val="006076FE"/>
    <w:rsid w:val="0062439F"/>
    <w:rsid w:val="00633DED"/>
    <w:rsid w:val="00647C1D"/>
    <w:rsid w:val="00666DE8"/>
    <w:rsid w:val="006A3E7F"/>
    <w:rsid w:val="006D1E05"/>
    <w:rsid w:val="00756506"/>
    <w:rsid w:val="00766894"/>
    <w:rsid w:val="007754A6"/>
    <w:rsid w:val="007A59B1"/>
    <w:rsid w:val="007D6D0B"/>
    <w:rsid w:val="007E4E23"/>
    <w:rsid w:val="008032C8"/>
    <w:rsid w:val="00820143"/>
    <w:rsid w:val="00832A14"/>
    <w:rsid w:val="00835861"/>
    <w:rsid w:val="008562A7"/>
    <w:rsid w:val="00886699"/>
    <w:rsid w:val="008D2549"/>
    <w:rsid w:val="008F4CE0"/>
    <w:rsid w:val="00912CF6"/>
    <w:rsid w:val="0092743A"/>
    <w:rsid w:val="009515CD"/>
    <w:rsid w:val="00966FA1"/>
    <w:rsid w:val="009D2452"/>
    <w:rsid w:val="009D564E"/>
    <w:rsid w:val="009E00D3"/>
    <w:rsid w:val="00A206DD"/>
    <w:rsid w:val="00A40158"/>
    <w:rsid w:val="00A5654D"/>
    <w:rsid w:val="00AA5A72"/>
    <w:rsid w:val="00AB126D"/>
    <w:rsid w:val="00AC4DCE"/>
    <w:rsid w:val="00AE1EF1"/>
    <w:rsid w:val="00AE29FE"/>
    <w:rsid w:val="00B00B78"/>
    <w:rsid w:val="00B2094F"/>
    <w:rsid w:val="00B31EED"/>
    <w:rsid w:val="00B64F67"/>
    <w:rsid w:val="00B705A1"/>
    <w:rsid w:val="00BB4ECA"/>
    <w:rsid w:val="00BC509E"/>
    <w:rsid w:val="00BD5B54"/>
    <w:rsid w:val="00C03225"/>
    <w:rsid w:val="00C27A84"/>
    <w:rsid w:val="00D20D21"/>
    <w:rsid w:val="00D342B7"/>
    <w:rsid w:val="00D54184"/>
    <w:rsid w:val="00D8082C"/>
    <w:rsid w:val="00DE71E4"/>
    <w:rsid w:val="00E345D0"/>
    <w:rsid w:val="00E4294F"/>
    <w:rsid w:val="00E56BEE"/>
    <w:rsid w:val="00EF7483"/>
    <w:rsid w:val="00F73B9A"/>
    <w:rsid w:val="00F8173C"/>
    <w:rsid w:val="00F84528"/>
    <w:rsid w:val="00FC39E6"/>
    <w:rsid w:val="00FD485A"/>
    <w:rsid w:val="054B0105"/>
    <w:rsid w:val="0B035C4C"/>
    <w:rsid w:val="0E5159FB"/>
    <w:rsid w:val="1676477B"/>
    <w:rsid w:val="17D45398"/>
    <w:rsid w:val="1C386971"/>
    <w:rsid w:val="1FE016A9"/>
    <w:rsid w:val="2B771A38"/>
    <w:rsid w:val="30BE03D2"/>
    <w:rsid w:val="34091097"/>
    <w:rsid w:val="34EE2B61"/>
    <w:rsid w:val="371E0226"/>
    <w:rsid w:val="37F65BD2"/>
    <w:rsid w:val="38B37316"/>
    <w:rsid w:val="391A52DB"/>
    <w:rsid w:val="3E464D91"/>
    <w:rsid w:val="3F57087A"/>
    <w:rsid w:val="42E8493F"/>
    <w:rsid w:val="44D424D1"/>
    <w:rsid w:val="5052542C"/>
    <w:rsid w:val="52B03878"/>
    <w:rsid w:val="58150567"/>
    <w:rsid w:val="5D40005D"/>
    <w:rsid w:val="608F4431"/>
    <w:rsid w:val="66215314"/>
    <w:rsid w:val="688F7BB7"/>
    <w:rsid w:val="6FFD6FCF"/>
    <w:rsid w:val="7168210E"/>
    <w:rsid w:val="73F87045"/>
    <w:rsid w:val="79683176"/>
    <w:rsid w:val="7AD53B92"/>
    <w:rsid w:val="7D21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3">
    <w:name w:val="heading 3"/>
    <w:basedOn w:val="1"/>
    <w:next w:val="1"/>
    <w:link w:val="25"/>
    <w:semiHidden/>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2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link w:val="26"/>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Salutation"/>
    <w:basedOn w:val="1"/>
    <w:next w:val="1"/>
    <w:link w:val="23"/>
    <w:qFormat/>
    <w:uiPriority w:val="99"/>
    <w:rPr>
      <w:rFonts w:ascii="宋体" w:eastAsia="仿宋_GB2312"/>
      <w:szCs w:val="20"/>
    </w:rPr>
  </w:style>
  <w:style w:type="paragraph" w:styleId="7">
    <w:name w:val="Body Text"/>
    <w:basedOn w:val="1"/>
    <w:link w:val="21"/>
    <w:qFormat/>
    <w:uiPriority w:val="1"/>
    <w:pPr>
      <w:autoSpaceDE w:val="0"/>
      <w:autoSpaceDN w:val="0"/>
      <w:jc w:val="left"/>
    </w:pPr>
    <w:rPr>
      <w:rFonts w:ascii="宋体" w:hAnsi="宋体" w:cs="宋体"/>
      <w:kern w:val="0"/>
      <w:szCs w:val="21"/>
      <w:lang w:val="zh-CN" w:bidi="zh-CN"/>
    </w:rPr>
  </w:style>
  <w:style w:type="paragraph" w:styleId="8">
    <w:name w:val="Plain Text"/>
    <w:basedOn w:val="1"/>
    <w:link w:val="29"/>
    <w:qFormat/>
    <w:uiPriority w:val="0"/>
    <w:rPr>
      <w:rFonts w:ascii="宋体" w:hAnsi="Courier New" w:cs="Courier New"/>
      <w:szCs w:val="21"/>
    </w:rPr>
  </w:style>
  <w:style w:type="paragraph" w:styleId="9">
    <w:name w:val="Date"/>
    <w:basedOn w:val="1"/>
    <w:next w:val="1"/>
    <w:link w:val="19"/>
    <w:unhideWhenUsed/>
    <w:qFormat/>
    <w:uiPriority w:val="99"/>
    <w:pPr>
      <w:ind w:left="100" w:leftChars="2500"/>
    </w:pPr>
  </w:style>
  <w:style w:type="paragraph" w:styleId="10">
    <w:name w:val="Balloon Text"/>
    <w:basedOn w:val="1"/>
    <w:link w:val="31"/>
    <w:semiHidden/>
    <w:unhideWhenUsed/>
    <w:qFormat/>
    <w:uiPriority w:val="99"/>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spacing w:before="100" w:beforeAutospacing="1" w:after="100" w:afterAutospacing="1"/>
      <w:jc w:val="left"/>
    </w:pPr>
    <w:rPr>
      <w:kern w:val="0"/>
      <w:sz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日期 Char"/>
    <w:basedOn w:val="16"/>
    <w:link w:val="9"/>
    <w:semiHidden/>
    <w:qFormat/>
    <w:uiPriority w:val="99"/>
    <w:rPr>
      <w:kern w:val="2"/>
      <w:sz w:val="21"/>
      <w:szCs w:val="24"/>
    </w:rPr>
  </w:style>
  <w:style w:type="character" w:customStyle="1" w:styleId="20">
    <w:name w:val="标题 1 Char"/>
    <w:basedOn w:val="16"/>
    <w:link w:val="2"/>
    <w:qFormat/>
    <w:uiPriority w:val="1"/>
    <w:rPr>
      <w:rFonts w:ascii="Microsoft JhengHei" w:hAnsi="Microsoft JhengHei" w:eastAsia="Microsoft JhengHei" w:cs="Microsoft JhengHei"/>
      <w:b/>
      <w:bCs/>
      <w:sz w:val="48"/>
      <w:szCs w:val="48"/>
      <w:lang w:val="zh-CN" w:bidi="zh-CN"/>
    </w:rPr>
  </w:style>
  <w:style w:type="character" w:customStyle="1" w:styleId="21">
    <w:name w:val="正文文本 Char"/>
    <w:basedOn w:val="16"/>
    <w:link w:val="7"/>
    <w:qFormat/>
    <w:uiPriority w:val="1"/>
    <w:rPr>
      <w:rFonts w:ascii="宋体" w:hAnsi="宋体" w:cs="宋体"/>
      <w:sz w:val="21"/>
      <w:szCs w:val="21"/>
      <w:lang w:val="zh-CN" w:bidi="zh-CN"/>
    </w:rPr>
  </w:style>
  <w:style w:type="paragraph" w:styleId="22">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character" w:customStyle="1" w:styleId="23">
    <w:name w:val="称呼 Char"/>
    <w:basedOn w:val="16"/>
    <w:link w:val="6"/>
    <w:qFormat/>
    <w:uiPriority w:val="99"/>
    <w:rPr>
      <w:rFonts w:ascii="宋体" w:eastAsia="仿宋_GB2312"/>
      <w:kern w:val="2"/>
      <w:sz w:val="21"/>
    </w:rPr>
  </w:style>
  <w:style w:type="paragraph" w:customStyle="1" w:styleId="24">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5">
    <w:name w:val="标题 3 Char"/>
    <w:basedOn w:val="16"/>
    <w:link w:val="3"/>
    <w:semiHidden/>
    <w:qFormat/>
    <w:uiPriority w:val="0"/>
    <w:rPr>
      <w:b/>
      <w:bCs/>
      <w:kern w:val="2"/>
      <w:sz w:val="32"/>
      <w:szCs w:val="32"/>
    </w:rPr>
  </w:style>
  <w:style w:type="character" w:customStyle="1" w:styleId="26">
    <w:name w:val="标题 6 Char"/>
    <w:basedOn w:val="16"/>
    <w:link w:val="5"/>
    <w:semiHidden/>
    <w:qFormat/>
    <w:uiPriority w:val="0"/>
    <w:rPr>
      <w:rFonts w:asciiTheme="majorHAnsi" w:hAnsiTheme="majorHAnsi" w:eastAsiaTheme="majorEastAsia" w:cstheme="majorBidi"/>
      <w:b/>
      <w:bCs/>
      <w:kern w:val="2"/>
      <w:sz w:val="24"/>
      <w:szCs w:val="24"/>
    </w:rPr>
  </w:style>
  <w:style w:type="character" w:customStyle="1" w:styleId="27">
    <w:name w:val="标题 4 Char"/>
    <w:basedOn w:val="16"/>
    <w:link w:val="4"/>
    <w:semiHidden/>
    <w:qFormat/>
    <w:uiPriority w:val="0"/>
    <w:rPr>
      <w:rFonts w:asciiTheme="majorHAnsi" w:hAnsiTheme="majorHAnsi" w:eastAsiaTheme="majorEastAsia" w:cstheme="majorBidi"/>
      <w:b/>
      <w:bCs/>
      <w:kern w:val="2"/>
      <w:sz w:val="28"/>
      <w:szCs w:val="28"/>
    </w:rPr>
  </w:style>
  <w:style w:type="paragraph" w:customStyle="1" w:styleId="28">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29">
    <w:name w:val="纯文本 Char"/>
    <w:link w:val="8"/>
    <w:qFormat/>
    <w:locked/>
    <w:uiPriority w:val="0"/>
    <w:rPr>
      <w:rFonts w:ascii="宋体" w:hAnsi="Courier New" w:cs="Courier New"/>
      <w:kern w:val="2"/>
      <w:sz w:val="21"/>
      <w:szCs w:val="21"/>
    </w:rPr>
  </w:style>
  <w:style w:type="character" w:customStyle="1" w:styleId="30">
    <w:name w:val="纯文本 Char1"/>
    <w:basedOn w:val="16"/>
    <w:semiHidden/>
    <w:qFormat/>
    <w:uiPriority w:val="99"/>
    <w:rPr>
      <w:rFonts w:ascii="宋体" w:hAnsi="Courier New" w:cs="Courier New"/>
      <w:kern w:val="2"/>
      <w:sz w:val="21"/>
      <w:szCs w:val="21"/>
    </w:rPr>
  </w:style>
  <w:style w:type="character" w:customStyle="1" w:styleId="31">
    <w:name w:val="批注框文本 Char"/>
    <w:basedOn w:val="16"/>
    <w:link w:val="10"/>
    <w:semiHidden/>
    <w:qFormat/>
    <w:uiPriority w:val="99"/>
    <w:rPr>
      <w:kern w:val="2"/>
      <w:sz w:val="18"/>
      <w:szCs w:val="18"/>
    </w:rPr>
  </w:style>
  <w:style w:type="character" w:customStyle="1" w:styleId="32">
    <w:name w:val="font61"/>
    <w:basedOn w:val="16"/>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152B-7E76-4F0D-93DE-05960B55AB5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34</Pages>
  <Words>12998</Words>
  <Characters>15375</Characters>
  <Lines>136</Lines>
  <Paragraphs>38</Paragraphs>
  <TotalTime>24</TotalTime>
  <ScaleCrop>false</ScaleCrop>
  <LinksUpToDate>false</LinksUpToDate>
  <CharactersWithSpaces>17112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2019-10-11T02:47:00Z</dcterms:created>
  <dc:creator>KGB</dc:creator>
  <cp:lastModifiedBy>谭永恒</cp:lastModifiedBy>
  <cp:lastPrinted>2019-12-17T03:39:00Z</cp:lastPrinted>
  <dcterms:modified xsi:type="dcterms:W3CDTF">2024-03-21T01:18:23Z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F1AB9B1D1DC34A9A96E464FA609ABD74</vt:lpwstr>
  </property>
</Properties>
</file>