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ascii="黑体" w:hAnsi="黑体" w:eastAsia="黑体" w:cs="宋体"/>
          <w:b/>
          <w:color w:val="000000"/>
          <w:kern w:val="0"/>
          <w:sz w:val="36"/>
          <w:szCs w:val="36"/>
        </w:rPr>
      </w:pPr>
      <w:r>
        <w:rPr>
          <w:rFonts w:hint="eastAsia" w:ascii="黑体" w:hAnsi="黑体" w:eastAsia="黑体" w:cs="宋体"/>
          <w:b/>
          <w:color w:val="000000"/>
          <w:w w:val="90"/>
          <w:kern w:val="0"/>
          <w:sz w:val="44"/>
          <w:szCs w:val="44"/>
        </w:rPr>
        <w:t>湖南省湘澧盐化有限责任公司</w:t>
      </w:r>
    </w:p>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color w:val="000000"/>
          <w:sz w:val="36"/>
          <w:szCs w:val="36"/>
          <w:lang w:val="en-US" w:eastAsia="zh-CN"/>
        </w:rPr>
      </w:pPr>
      <w:r>
        <w:rPr>
          <w:rFonts w:hint="eastAsia" w:ascii="宋体" w:hAnsi="宋体"/>
          <w:b w:val="0"/>
          <w:bCs w:val="0"/>
          <w:w w:val="90"/>
          <w:sz w:val="36"/>
          <w:szCs w:val="36"/>
          <w:lang w:val="en-US" w:eastAsia="zh-CN"/>
        </w:rPr>
        <w:t>生态盐分级分筛车间建设项目</w:t>
      </w:r>
      <w:r>
        <w:rPr>
          <w:rFonts w:hint="eastAsia"/>
          <w:color w:val="000000"/>
          <w:sz w:val="36"/>
          <w:szCs w:val="36"/>
          <w:lang w:val="en-US" w:eastAsia="zh-CN"/>
        </w:rPr>
        <w:t>新建原盐料仓、平台及附属设施的</w:t>
      </w:r>
    </w:p>
    <w:p>
      <w:pPr>
        <w:spacing w:line="360" w:lineRule="auto"/>
        <w:jc w:val="center"/>
        <w:rPr>
          <w:rFonts w:hint="default" w:ascii="宋体" w:hAnsi="宋体"/>
          <w:b w:val="0"/>
          <w:bCs w:val="0"/>
          <w:sz w:val="36"/>
          <w:szCs w:val="36"/>
          <w:lang w:val="en-US"/>
        </w:rPr>
      </w:pPr>
      <w:r>
        <w:rPr>
          <w:rFonts w:hint="eastAsia"/>
          <w:color w:val="000000"/>
          <w:sz w:val="36"/>
          <w:szCs w:val="36"/>
          <w:lang w:val="en-US" w:eastAsia="zh-CN"/>
        </w:rPr>
        <w:t>采购、制作和安装</w:t>
      </w:r>
    </w:p>
    <w:p>
      <w:pPr>
        <w:jc w:val="both"/>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72"/>
          <w:szCs w:val="72"/>
        </w:rPr>
        <w:t>招</w:t>
      </w:r>
      <w:r>
        <w:rPr>
          <w:rFonts w:hint="eastAsia" w:ascii="黑体" w:hAnsi="黑体" w:eastAsia="黑体"/>
          <w:b/>
          <w:sz w:val="72"/>
          <w:szCs w:val="72"/>
          <w:lang w:val="en-US" w:eastAsia="zh-CN"/>
        </w:rPr>
        <w:t xml:space="preserve"> </w:t>
      </w:r>
      <w:r>
        <w:rPr>
          <w:rFonts w:hint="eastAsia" w:ascii="黑体" w:hAnsi="黑体" w:eastAsia="黑体"/>
          <w:b/>
          <w:sz w:val="72"/>
          <w:szCs w:val="72"/>
        </w:rPr>
        <w:t>标</w:t>
      </w:r>
      <w:r>
        <w:rPr>
          <w:rFonts w:hint="eastAsia" w:ascii="黑体" w:hAnsi="黑体" w:eastAsia="黑体"/>
          <w:b/>
          <w:sz w:val="72"/>
          <w:szCs w:val="72"/>
          <w:lang w:val="en-US" w:eastAsia="zh-CN"/>
        </w:rPr>
        <w:t xml:space="preserve"> </w:t>
      </w:r>
      <w:r>
        <w:rPr>
          <w:rFonts w:hint="eastAsia" w:ascii="黑体" w:hAnsi="黑体" w:eastAsia="黑体"/>
          <w:b/>
          <w:sz w:val="72"/>
          <w:szCs w:val="72"/>
        </w:rPr>
        <w:t>文</w:t>
      </w:r>
      <w:r>
        <w:rPr>
          <w:rFonts w:hint="eastAsia" w:ascii="黑体" w:hAnsi="黑体" w:eastAsia="黑体"/>
          <w:b/>
          <w:sz w:val="72"/>
          <w:szCs w:val="72"/>
          <w:lang w:val="en-US" w:eastAsia="zh-CN"/>
        </w:rPr>
        <w:t xml:space="preserve"> </w:t>
      </w:r>
      <w:r>
        <w:rPr>
          <w:rFonts w:hint="eastAsia" w:ascii="黑体" w:hAnsi="黑体" w:eastAsia="黑体"/>
          <w:b/>
          <w:sz w:val="72"/>
          <w:szCs w:val="72"/>
        </w:rPr>
        <w:t>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spacing w:line="360" w:lineRule="auto"/>
        <w:jc w:val="both"/>
        <w:rPr>
          <w:rFonts w:hint="default" w:ascii="宋体" w:hAnsi="宋体"/>
          <w:b w:val="0"/>
          <w:bCs w:val="0"/>
          <w:sz w:val="24"/>
          <w:szCs w:val="24"/>
          <w:lang w:val="en-US"/>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20</w:t>
      </w:r>
      <w:r>
        <w:rPr>
          <w:rFonts w:hint="eastAsia" w:asciiTheme="minorEastAsia" w:hAnsiTheme="minorEastAsia" w:eastAsiaTheme="minorEastAsia"/>
          <w:b/>
          <w:color w:val="auto"/>
          <w:sz w:val="28"/>
          <w:szCs w:val="28"/>
          <w:lang w:val="en-US" w:eastAsia="zh-CN"/>
        </w:rPr>
        <w:t>23</w:t>
      </w:r>
      <w:r>
        <w:rPr>
          <w:rFonts w:hint="eastAsia" w:asciiTheme="minorEastAsia" w:hAnsiTheme="minorEastAsia" w:eastAsiaTheme="minorEastAsia"/>
          <w:b/>
          <w:color w:val="auto"/>
          <w:sz w:val="28"/>
          <w:szCs w:val="28"/>
        </w:rPr>
        <w:t>年</w:t>
      </w:r>
      <w:r>
        <w:rPr>
          <w:rFonts w:hint="eastAsia" w:asciiTheme="minorEastAsia" w:hAnsiTheme="minorEastAsia" w:eastAsiaTheme="minorEastAsia"/>
          <w:b/>
          <w:color w:val="auto"/>
          <w:sz w:val="28"/>
          <w:szCs w:val="28"/>
          <w:lang w:val="en-US" w:eastAsia="zh-CN"/>
        </w:rPr>
        <w:t>8</w:t>
      </w:r>
      <w:r>
        <w:rPr>
          <w:rFonts w:hint="eastAsia" w:asciiTheme="minorEastAsia" w:hAnsiTheme="minorEastAsia" w:eastAsiaTheme="minorEastAsia"/>
          <w:b/>
          <w:color w:val="auto"/>
          <w:sz w:val="28"/>
          <w:szCs w:val="28"/>
        </w:rPr>
        <w:t>月10日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9"/>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9"/>
        <w:adjustRightInd w:val="0"/>
        <w:snapToGrid w:val="0"/>
        <w:spacing w:line="360" w:lineRule="auto"/>
        <w:rPr>
          <w:rFonts w:hAnsi="宋体"/>
          <w:b/>
          <w:sz w:val="24"/>
          <w:szCs w:val="24"/>
        </w:rPr>
      </w:pPr>
    </w:p>
    <w:p>
      <w:pPr>
        <w:pStyle w:val="9"/>
        <w:adjustRightInd w:val="0"/>
        <w:snapToGrid w:val="0"/>
        <w:spacing w:line="360" w:lineRule="auto"/>
        <w:rPr>
          <w:rFonts w:hAnsi="宋体"/>
          <w:b/>
          <w:sz w:val="24"/>
          <w:szCs w:val="24"/>
        </w:rPr>
      </w:pPr>
      <w:r>
        <w:rPr>
          <w:rFonts w:hint="eastAsia" w:hAnsi="宋体"/>
          <w:b/>
          <w:sz w:val="24"/>
          <w:szCs w:val="24"/>
        </w:rPr>
        <w:t>第一章  投标邀请</w:t>
      </w:r>
    </w:p>
    <w:p>
      <w:pPr>
        <w:pStyle w:val="9"/>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9"/>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hint="eastAsia" w:ascii="宋体" w:hAnsi="宋体"/>
          <w:b/>
          <w:sz w:val="24"/>
        </w:rPr>
      </w:pPr>
      <w:r>
        <w:rPr>
          <w:rFonts w:hint="eastAsia" w:hAnsi="宋体"/>
          <w:b/>
          <w:sz w:val="24"/>
        </w:rPr>
        <w:t>第</w:t>
      </w:r>
      <w:r>
        <w:rPr>
          <w:rFonts w:hint="eastAsia" w:hAnsi="宋体"/>
          <w:b/>
          <w:sz w:val="24"/>
          <w:lang w:val="en-US" w:eastAsia="zh-CN"/>
        </w:rPr>
        <w:t>五</w:t>
      </w:r>
      <w:r>
        <w:rPr>
          <w:rFonts w:hint="eastAsia" w:hAnsi="宋体"/>
          <w:b/>
          <w:sz w:val="24"/>
        </w:rPr>
        <w:t xml:space="preserve">章  </w:t>
      </w:r>
      <w:r>
        <w:rPr>
          <w:rFonts w:hint="eastAsia" w:ascii="宋体" w:hAnsi="宋体"/>
          <w:b/>
          <w:sz w:val="24"/>
        </w:rPr>
        <w:t>投标文件组成</w:t>
      </w:r>
    </w:p>
    <w:p>
      <w:pPr>
        <w:pStyle w:val="9"/>
        <w:adjustRightInd w:val="0"/>
        <w:snapToGrid w:val="0"/>
        <w:spacing w:line="360" w:lineRule="auto"/>
        <w:rPr>
          <w:rFonts w:hint="default" w:hAnsi="宋体" w:eastAsia="宋体"/>
          <w:b/>
          <w:sz w:val="24"/>
          <w:szCs w:val="24"/>
          <w:lang w:val="en-US" w:eastAsia="zh-CN"/>
        </w:rPr>
      </w:pPr>
      <w:r>
        <w:rPr>
          <w:rFonts w:hint="eastAsia" w:hAnsi="宋体"/>
          <w:b/>
          <w:sz w:val="24"/>
          <w:szCs w:val="24"/>
        </w:rPr>
        <w:t>第</w:t>
      </w:r>
      <w:r>
        <w:rPr>
          <w:rFonts w:hint="eastAsia" w:hAnsi="宋体"/>
          <w:b/>
          <w:sz w:val="24"/>
          <w:szCs w:val="24"/>
          <w:lang w:val="en-US" w:eastAsia="zh-CN"/>
        </w:rPr>
        <w:t>六</w:t>
      </w:r>
      <w:r>
        <w:rPr>
          <w:rFonts w:hint="eastAsia" w:hAnsi="宋体"/>
          <w:b/>
          <w:sz w:val="24"/>
          <w:szCs w:val="24"/>
        </w:rPr>
        <w:t>章  技术</w:t>
      </w:r>
      <w:r>
        <w:rPr>
          <w:rFonts w:hint="eastAsia" w:hAnsi="宋体"/>
          <w:b/>
          <w:sz w:val="24"/>
          <w:szCs w:val="24"/>
          <w:lang w:val="en-US" w:eastAsia="zh-CN"/>
        </w:rPr>
        <w:t>规范书</w:t>
      </w:r>
    </w:p>
    <w:p>
      <w:pPr>
        <w:autoSpaceDE w:val="0"/>
        <w:autoSpaceDN w:val="0"/>
        <w:adjustRightInd w:val="0"/>
        <w:snapToGrid w:val="0"/>
        <w:spacing w:line="360" w:lineRule="auto"/>
        <w:rPr>
          <w:rFonts w:hint="eastAsia"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pStyle w:val="2"/>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rFonts w:hint="eastAsia"/>
          <w:sz w:val="24"/>
          <w:lang w:val="en-US" w:eastAsia="zh-CN"/>
        </w:rPr>
        <w:t>生态盐分级分筛建设项目</w:t>
      </w:r>
      <w:r>
        <w:rPr>
          <w:rFonts w:hint="eastAsia"/>
          <w:color w:val="000000"/>
          <w:sz w:val="24"/>
          <w:szCs w:val="24"/>
          <w:lang w:val="en-US" w:eastAsia="zh-CN"/>
        </w:rPr>
        <w:t>新建原盐料仓、平台及附属设施的采购、制作和安装</w:t>
      </w:r>
      <w:r>
        <w:rPr>
          <w:sz w:val="24"/>
        </w:rPr>
        <w:t>进行</w:t>
      </w:r>
      <w:r>
        <w:rPr>
          <w:rFonts w:hint="eastAsia"/>
          <w:sz w:val="24"/>
        </w:rPr>
        <w:t>内部</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rFonts w:hint="eastAsia"/>
          <w:sz w:val="28"/>
          <w:szCs w:val="28"/>
          <w:lang w:val="en-US" w:eastAsia="zh-CN"/>
        </w:rPr>
      </w:pPr>
      <w:r>
        <w:rPr>
          <w:rFonts w:hint="eastAsia"/>
          <w:sz w:val="24"/>
        </w:rPr>
        <w:t>（1）</w:t>
      </w:r>
      <w:r>
        <w:rPr>
          <w:sz w:val="24"/>
        </w:rPr>
        <w:t>货物名称：</w:t>
      </w:r>
      <w:r>
        <w:rPr>
          <w:rFonts w:hint="eastAsia"/>
          <w:sz w:val="24"/>
        </w:rPr>
        <w:t>湖南省湘澧盐化有限责任公司</w:t>
      </w:r>
      <w:r>
        <w:rPr>
          <w:rFonts w:hint="eastAsia"/>
          <w:sz w:val="24"/>
          <w:lang w:val="en-US" w:eastAsia="zh-CN"/>
        </w:rPr>
        <w:t>生态盐分级分筛建设项目</w:t>
      </w:r>
      <w:r>
        <w:rPr>
          <w:rFonts w:hint="eastAsia"/>
          <w:color w:val="000000"/>
          <w:sz w:val="24"/>
          <w:szCs w:val="24"/>
          <w:lang w:val="en-US" w:eastAsia="zh-CN"/>
        </w:rPr>
        <w:t>新建原盐料仓、平台及附属设施的采购、制作和安装</w:t>
      </w:r>
    </w:p>
    <w:p>
      <w:pPr>
        <w:spacing w:line="480" w:lineRule="exact"/>
        <w:ind w:right="454"/>
        <w:rPr>
          <w:rFonts w:hint="default" w:eastAsia="宋体"/>
          <w:sz w:val="30"/>
          <w:lang w:val="en-US" w:eastAsia="zh-CN"/>
        </w:rPr>
      </w:pPr>
      <w:r>
        <w:rPr>
          <w:rFonts w:hint="eastAsia"/>
          <w:sz w:val="24"/>
        </w:rPr>
        <w:t>（2）</w:t>
      </w:r>
      <w:r>
        <w:rPr>
          <w:sz w:val="24"/>
        </w:rPr>
        <w:t>数</w:t>
      </w:r>
      <w:r>
        <w:rPr>
          <w:sz w:val="24"/>
        </w:rPr>
        <w:tab/>
      </w:r>
      <w:r>
        <w:rPr>
          <w:sz w:val="24"/>
        </w:rPr>
        <w:t xml:space="preserve">量： </w:t>
      </w:r>
      <w:r>
        <w:rPr>
          <w:rFonts w:hint="eastAsia"/>
          <w:sz w:val="24"/>
          <w:lang w:val="en-US" w:eastAsia="zh-CN"/>
        </w:rPr>
        <w:t>原</w:t>
      </w:r>
      <w:r>
        <w:rPr>
          <w:rFonts w:hint="eastAsia"/>
          <w:color w:val="000000"/>
          <w:sz w:val="24"/>
          <w:szCs w:val="24"/>
          <w:lang w:val="en-US" w:eastAsia="zh-CN"/>
        </w:rPr>
        <w:t>盐料仓、平台及附属设施2</w:t>
      </w:r>
      <w:r>
        <w:rPr>
          <w:rFonts w:hint="eastAsia"/>
          <w:sz w:val="24"/>
          <w:lang w:val="en-US" w:eastAsia="zh-CN"/>
        </w:rPr>
        <w:t>套</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sz w:val="24"/>
        </w:rPr>
        <w:t>交货期：</w:t>
      </w:r>
      <w:r>
        <w:rPr>
          <w:rFonts w:hint="eastAsia"/>
          <w:sz w:val="24"/>
        </w:rPr>
        <w:t xml:space="preserve"> </w:t>
      </w:r>
      <w:r>
        <w:rPr>
          <w:rFonts w:hint="eastAsia"/>
          <w:sz w:val="24"/>
          <w:lang w:val="en-US" w:eastAsia="zh-CN"/>
        </w:rPr>
        <w:t>30</w:t>
      </w:r>
      <w:r>
        <w:rPr>
          <w:sz w:val="24"/>
        </w:rPr>
        <w:t>日历天</w:t>
      </w:r>
    </w:p>
    <w:p>
      <w:pPr>
        <w:spacing w:before="66" w:line="480" w:lineRule="exact"/>
        <w:ind w:right="454"/>
        <w:rPr>
          <w:rFonts w:hint="default" w:eastAsia="宋体"/>
          <w:sz w:val="24"/>
          <w:lang w:val="en-US" w:eastAsia="zh-CN"/>
        </w:rPr>
      </w:pPr>
      <w:r>
        <w:rPr>
          <w:rFonts w:hint="eastAsia"/>
          <w:sz w:val="24"/>
        </w:rPr>
        <w:t>（5）</w:t>
      </w:r>
      <w:r>
        <w:rPr>
          <w:sz w:val="24"/>
        </w:rPr>
        <w:t>交货地点：津市市盐矿社区湘澧盐化</w:t>
      </w:r>
      <w:r>
        <w:rPr>
          <w:rFonts w:hint="eastAsia"/>
          <w:sz w:val="24"/>
          <w:lang w:val="en-US" w:eastAsia="zh-CN"/>
        </w:rPr>
        <w:t>包装厂</w:t>
      </w:r>
    </w:p>
    <w:p>
      <w:pPr>
        <w:spacing w:line="480" w:lineRule="exact"/>
        <w:ind w:right="454"/>
        <w:rPr>
          <w:b/>
          <w:sz w:val="28"/>
          <w:szCs w:val="28"/>
        </w:rPr>
      </w:pPr>
      <w:r>
        <w:rPr>
          <w:rFonts w:hint="eastAsia"/>
          <w:b/>
          <w:sz w:val="28"/>
          <w:szCs w:val="28"/>
        </w:rPr>
        <w:t>2、</w:t>
      </w:r>
      <w:r>
        <w:rPr>
          <w:b/>
          <w:sz w:val="28"/>
          <w:szCs w:val="28"/>
        </w:rPr>
        <w:t>投标人资格要求</w:t>
      </w:r>
    </w:p>
    <w:p>
      <w:pPr>
        <w:pStyle w:val="23"/>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80" w:lineRule="exact"/>
        <w:ind w:left="0" w:right="454" w:firstLine="0"/>
        <w:rPr>
          <w:rFonts w:hint="eastAsia"/>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3"/>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eastAsia="zh-CN"/>
        </w:rPr>
        <w:t>4</w:t>
      </w:r>
      <w:r>
        <w:rPr>
          <w:rFonts w:hint="eastAsia"/>
          <w:sz w:val="24"/>
        </w:rPr>
        <w:t>）</w:t>
      </w:r>
      <w:r>
        <w:rPr>
          <w:sz w:val="24"/>
        </w:rPr>
        <w:t>业绩要求：投标人近三年至少承担过</w:t>
      </w:r>
      <w:r>
        <w:rPr>
          <w:rFonts w:hint="eastAsia"/>
          <w:sz w:val="24"/>
          <w:lang w:val="en-US"/>
        </w:rPr>
        <w:t>一项同类型</w:t>
      </w:r>
      <w:r>
        <w:rPr>
          <w:rFonts w:hint="eastAsia"/>
          <w:sz w:val="24"/>
          <w:lang w:val="en-US" w:eastAsia="zh-CN"/>
        </w:rPr>
        <w:t>设备制造、安装</w:t>
      </w:r>
      <w:r>
        <w:rPr>
          <w:sz w:val="24"/>
        </w:rPr>
        <w:t>业绩</w:t>
      </w:r>
      <w:r>
        <w:rPr>
          <w:rFonts w:hint="eastAsia"/>
          <w:sz w:val="24"/>
        </w:rPr>
        <w:t>。</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eastAsia="zh-CN"/>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80" w:lineRule="exact"/>
        <w:ind w:left="0" w:right="454" w:firstLine="0"/>
        <w:rPr>
          <w:sz w:val="24"/>
        </w:rPr>
      </w:pPr>
      <w:r>
        <w:rPr>
          <w:rFonts w:hint="eastAsia"/>
          <w:sz w:val="24"/>
        </w:rPr>
        <w:t>（</w:t>
      </w:r>
      <w:r>
        <w:rPr>
          <w:rFonts w:hint="eastAsia"/>
          <w:sz w:val="24"/>
          <w:lang w:val="en-US" w:eastAsia="zh-CN"/>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color w:val="auto"/>
          <w:sz w:val="24"/>
        </w:rPr>
      </w:pPr>
      <w:r>
        <w:rPr>
          <w:rFonts w:hint="eastAsia"/>
          <w:sz w:val="24"/>
        </w:rPr>
        <w:t>（1）</w:t>
      </w:r>
      <w:r>
        <w:rPr>
          <w:sz w:val="24"/>
        </w:rPr>
        <w:t>投标截止时间：</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9</w:t>
      </w:r>
      <w:r>
        <w:rPr>
          <w:rFonts w:hint="eastAsia"/>
          <w:color w:val="auto"/>
          <w:sz w:val="24"/>
        </w:rPr>
        <w:t>月</w:t>
      </w:r>
      <w:r>
        <w:rPr>
          <w:rFonts w:hint="eastAsia"/>
          <w:color w:val="auto"/>
          <w:sz w:val="24"/>
          <w:lang w:val="en-US" w:eastAsia="zh-CN"/>
        </w:rPr>
        <w:t>11</w:t>
      </w:r>
      <w:r>
        <w:rPr>
          <w:rFonts w:hint="eastAsia"/>
          <w:color w:val="auto"/>
          <w:sz w:val="24"/>
        </w:rPr>
        <w:t>日</w:t>
      </w:r>
      <w:r>
        <w:rPr>
          <w:rFonts w:hint="eastAsia"/>
          <w:color w:val="auto"/>
          <w:sz w:val="24"/>
          <w:lang w:val="en-US" w:eastAsia="zh-CN"/>
        </w:rPr>
        <w:t>15</w:t>
      </w:r>
      <w:r>
        <w:rPr>
          <w:rFonts w:hint="eastAsia"/>
          <w:color w:val="auto"/>
          <w:sz w:val="24"/>
        </w:rPr>
        <w:t>:00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w:t>
      </w:r>
      <w:r>
        <w:rPr>
          <w:rFonts w:hint="eastAsia"/>
          <w:sz w:val="24"/>
          <w:lang w:val="en-US" w:eastAsia="zh-CN"/>
        </w:rPr>
        <w:t>质量部会议室</w:t>
      </w:r>
      <w:r>
        <w:rPr>
          <w:rFonts w:hint="eastAsia"/>
          <w:sz w:val="24"/>
        </w:rPr>
        <w:t>。</w:t>
      </w:r>
    </w:p>
    <w:p>
      <w:pPr>
        <w:spacing w:line="480" w:lineRule="exact"/>
        <w:ind w:right="454"/>
        <w:rPr>
          <w:color w:val="auto"/>
          <w:sz w:val="24"/>
        </w:rPr>
      </w:pPr>
      <w:r>
        <w:rPr>
          <w:rFonts w:hint="eastAsia"/>
          <w:sz w:val="24"/>
        </w:rPr>
        <w:t>（4）开标时间：</w:t>
      </w:r>
      <w:r>
        <w:rPr>
          <w:rFonts w:hint="eastAsia"/>
          <w:b w:val="0"/>
          <w:bCs w:val="0"/>
          <w:color w:val="auto"/>
          <w:sz w:val="24"/>
        </w:rPr>
        <w:t>20</w:t>
      </w:r>
      <w:r>
        <w:rPr>
          <w:rFonts w:hint="eastAsia"/>
          <w:b w:val="0"/>
          <w:bCs w:val="0"/>
          <w:color w:val="auto"/>
          <w:sz w:val="24"/>
          <w:lang w:val="en-US" w:eastAsia="zh-CN"/>
        </w:rPr>
        <w:t>23</w:t>
      </w:r>
      <w:r>
        <w:rPr>
          <w:rFonts w:hint="eastAsia"/>
          <w:b w:val="0"/>
          <w:bCs w:val="0"/>
          <w:color w:val="auto"/>
          <w:sz w:val="24"/>
        </w:rPr>
        <w:t>年</w:t>
      </w:r>
      <w:r>
        <w:rPr>
          <w:rFonts w:hint="eastAsia"/>
          <w:b w:val="0"/>
          <w:bCs w:val="0"/>
          <w:color w:val="auto"/>
          <w:sz w:val="24"/>
          <w:lang w:val="en-US" w:eastAsia="zh-CN"/>
        </w:rPr>
        <w:t>9</w:t>
      </w:r>
      <w:r>
        <w:rPr>
          <w:rFonts w:hint="eastAsia"/>
          <w:b w:val="0"/>
          <w:bCs w:val="0"/>
          <w:color w:val="auto"/>
          <w:sz w:val="24"/>
        </w:rPr>
        <w:t>月</w:t>
      </w:r>
      <w:r>
        <w:rPr>
          <w:rFonts w:hint="eastAsia"/>
          <w:b w:val="0"/>
          <w:bCs w:val="0"/>
          <w:color w:val="auto"/>
          <w:sz w:val="24"/>
          <w:lang w:val="en-US" w:eastAsia="zh-CN"/>
        </w:rPr>
        <w:t>11</w:t>
      </w:r>
      <w:r>
        <w:rPr>
          <w:rFonts w:hint="eastAsia"/>
          <w:b w:val="0"/>
          <w:bCs w:val="0"/>
          <w:color w:val="auto"/>
          <w:sz w:val="24"/>
        </w:rPr>
        <w:t>日</w:t>
      </w:r>
      <w:r>
        <w:rPr>
          <w:rFonts w:hint="eastAsia"/>
          <w:b w:val="0"/>
          <w:bCs w:val="0"/>
          <w:color w:val="auto"/>
          <w:sz w:val="24"/>
          <w:lang w:val="en-US" w:eastAsia="zh-CN"/>
        </w:rPr>
        <w:t>15</w:t>
      </w:r>
      <w:bookmarkStart w:id="127" w:name="_GoBack"/>
      <w:bookmarkEnd w:id="127"/>
      <w:r>
        <w:rPr>
          <w:rFonts w:hint="eastAsia"/>
          <w:b w:val="0"/>
          <w:bCs w:val="0"/>
          <w:color w:val="auto"/>
          <w:sz w:val="24"/>
        </w:rPr>
        <w:t>:00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lang w:val="en-US" w:eastAsia="zh-CN"/>
        </w:rPr>
        <w:t>谭先生</w:t>
      </w:r>
      <w:r>
        <w:rPr>
          <w:sz w:val="24"/>
        </w:rPr>
        <w:tab/>
      </w:r>
      <w:r>
        <w:rPr>
          <w:sz w:val="24"/>
        </w:rPr>
        <w:t>电话：13</w:t>
      </w:r>
      <w:r>
        <w:rPr>
          <w:rFonts w:hint="eastAsia"/>
          <w:sz w:val="24"/>
        </w:rPr>
        <w:t>5</w:t>
      </w:r>
      <w:r>
        <w:rPr>
          <w:rFonts w:hint="eastAsia"/>
          <w:sz w:val="24"/>
          <w:lang w:val="en-US" w:eastAsia="zh-CN"/>
        </w:rPr>
        <w:t>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color w:val="auto"/>
          <w:sz w:val="24"/>
        </w:rPr>
      </w:pP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8</w:t>
      </w:r>
      <w:r>
        <w:rPr>
          <w:rFonts w:hint="eastAsia"/>
          <w:color w:val="auto"/>
          <w:sz w:val="24"/>
        </w:rPr>
        <w:t>月</w:t>
      </w:r>
      <w:r>
        <w:rPr>
          <w:rFonts w:hint="eastAsia"/>
          <w:color w:val="auto"/>
          <w:sz w:val="24"/>
          <w:lang w:val="en-US" w:eastAsia="zh-CN"/>
        </w:rPr>
        <w:t>10</w:t>
      </w:r>
      <w:r>
        <w:rPr>
          <w:rFonts w:hint="eastAsia"/>
          <w:color w:val="auto"/>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both"/>
        <w:rPr>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rFonts w:hint="eastAsia"/>
          <w:sz w:val="24"/>
        </w:rPr>
      </w:pPr>
    </w:p>
    <w:p>
      <w:pPr>
        <w:spacing w:line="460" w:lineRule="exact"/>
        <w:ind w:right="-2"/>
        <w:jc w:val="left"/>
        <w:rPr>
          <w:sz w:val="24"/>
        </w:rPr>
      </w:pPr>
      <w:r>
        <w:rPr>
          <w:rFonts w:hint="eastAsia"/>
          <w:sz w:val="24"/>
        </w:rPr>
        <w:t>一、招标范围：</w:t>
      </w:r>
    </w:p>
    <w:p>
      <w:pPr>
        <w:spacing w:line="480" w:lineRule="exact"/>
        <w:ind w:right="454"/>
        <w:rPr>
          <w:sz w:val="24"/>
        </w:rPr>
      </w:pPr>
      <w:r>
        <w:rPr>
          <w:rFonts w:hint="eastAsia"/>
          <w:sz w:val="24"/>
        </w:rPr>
        <w:t>湖南省湘澧盐化有限责任公司</w:t>
      </w:r>
      <w:r>
        <w:rPr>
          <w:rFonts w:hint="eastAsia"/>
          <w:sz w:val="24"/>
          <w:lang w:val="en-US" w:eastAsia="zh-CN"/>
        </w:rPr>
        <w:t>生态盐分级分筛建设项目</w:t>
      </w:r>
      <w:r>
        <w:rPr>
          <w:rFonts w:hint="eastAsia"/>
          <w:color w:val="000000"/>
          <w:sz w:val="24"/>
          <w:szCs w:val="24"/>
          <w:lang w:val="en-US" w:eastAsia="zh-CN"/>
        </w:rPr>
        <w:t>新建原盐料仓、平台及附属设施的采购、制作和安装。</w:t>
      </w:r>
    </w:p>
    <w:p>
      <w:pPr>
        <w:pStyle w:val="23"/>
        <w:spacing w:before="58" w:line="460" w:lineRule="exact"/>
        <w:ind w:left="0" w:firstLine="0"/>
        <w:rPr>
          <w:sz w:val="24"/>
        </w:rPr>
      </w:pPr>
      <w:r>
        <w:rPr>
          <w:rFonts w:hint="eastAsia"/>
          <w:sz w:val="24"/>
        </w:rPr>
        <w:t>二、投标人资格：</w:t>
      </w:r>
    </w:p>
    <w:p>
      <w:pPr>
        <w:pStyle w:val="23"/>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3"/>
        <w:tabs>
          <w:tab w:val="left" w:pos="1441"/>
        </w:tabs>
        <w:spacing w:before="66" w:line="460" w:lineRule="exact"/>
        <w:ind w:left="0" w:firstLine="0"/>
        <w:rPr>
          <w:sz w:val="24"/>
        </w:rPr>
      </w:pPr>
      <w:r>
        <w:rPr>
          <w:sz w:val="24"/>
        </w:rPr>
        <w:t>财务状态要求：具有良好的商业信誉和健全的财务会计制度</w:t>
      </w:r>
    </w:p>
    <w:p>
      <w:pPr>
        <w:pStyle w:val="23"/>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一项同类</w:t>
      </w:r>
      <w:r>
        <w:rPr>
          <w:rFonts w:hint="eastAsia"/>
          <w:sz w:val="24"/>
          <w:lang w:val="en-US" w:eastAsia="zh-CN"/>
        </w:rPr>
        <w:t>设备</w:t>
      </w:r>
      <w:r>
        <w:rPr>
          <w:sz w:val="24"/>
        </w:rPr>
        <w:t>业绩</w:t>
      </w:r>
      <w:r>
        <w:rPr>
          <w:rFonts w:hint="eastAsia"/>
          <w:sz w:val="24"/>
        </w:rPr>
        <w:t>。</w:t>
      </w:r>
    </w:p>
    <w:p>
      <w:pPr>
        <w:pStyle w:val="23"/>
        <w:tabs>
          <w:tab w:val="left" w:pos="1441"/>
        </w:tabs>
        <w:spacing w:before="66" w:line="460" w:lineRule="exact"/>
        <w:ind w:left="0" w:firstLine="240" w:firstLineChars="100"/>
        <w:rPr>
          <w:sz w:val="24"/>
        </w:rPr>
      </w:pPr>
      <w:r>
        <w:rPr>
          <w:rFonts w:hint="eastAsia"/>
          <w:sz w:val="24"/>
        </w:rPr>
        <w:t>（</w:t>
      </w:r>
      <w:r>
        <w:rPr>
          <w:rFonts w:hint="eastAsia"/>
          <w:sz w:val="24"/>
          <w:lang w:val="en-US" w:eastAsia="zh-CN"/>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60" w:lineRule="exact"/>
        <w:ind w:left="0" w:firstLine="240" w:firstLineChars="100"/>
        <w:rPr>
          <w:sz w:val="24"/>
        </w:rPr>
      </w:pPr>
      <w:r>
        <w:rPr>
          <w:rFonts w:hint="eastAsia"/>
          <w:sz w:val="24"/>
        </w:rPr>
        <w:t>（</w:t>
      </w:r>
      <w:r>
        <w:rPr>
          <w:rFonts w:hint="eastAsia"/>
          <w:sz w:val="24"/>
          <w:lang w:val="en-US" w:eastAsia="zh-CN"/>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18"/>
        </w:rPr>
      </w:pPr>
      <w:r>
        <w:rPr>
          <w:rFonts w:hint="eastAsia"/>
          <w:sz w:val="24"/>
        </w:rPr>
        <w:t>③</w:t>
      </w:r>
      <w:r>
        <w:rPr>
          <w:sz w:val="24"/>
        </w:rPr>
        <w:t>本次招标不接受</w:t>
      </w:r>
      <w:r>
        <w:rPr>
          <w:spacing w:val="-10"/>
          <w:sz w:val="24"/>
        </w:rPr>
        <w:t>联合体投标。</w:t>
      </w:r>
    </w:p>
    <w:p>
      <w:pPr>
        <w:spacing w:line="460" w:lineRule="exact"/>
        <w:ind w:right="-2"/>
        <w:jc w:val="left"/>
        <w:rPr>
          <w:sz w:val="24"/>
        </w:rPr>
      </w:pPr>
      <w:r>
        <w:rPr>
          <w:rFonts w:hint="eastAsia"/>
          <w:sz w:val="24"/>
        </w:rPr>
        <w:t>三、现场勘察：</w:t>
      </w:r>
    </w:p>
    <w:p>
      <w:pPr>
        <w:spacing w:line="460" w:lineRule="exact"/>
        <w:ind w:right="-2" w:firstLine="480" w:firstLineChars="200"/>
        <w:jc w:val="left"/>
        <w:rPr>
          <w:sz w:val="24"/>
        </w:rPr>
      </w:pPr>
      <w:r>
        <w:rPr>
          <w:rFonts w:hint="eastAsia"/>
          <w:sz w:val="24"/>
        </w:rPr>
        <w:t>投标人自行联系招标人进行现场勘察。</w:t>
      </w:r>
    </w:p>
    <w:p>
      <w:pPr>
        <w:spacing w:line="460" w:lineRule="exact"/>
        <w:ind w:right="-2"/>
        <w:jc w:val="left"/>
        <w:rPr>
          <w:rFonts w:ascii="宋体" w:hAnsi="宋体"/>
          <w:color w:val="000000"/>
          <w:sz w:val="24"/>
        </w:rPr>
      </w:pPr>
      <w:r>
        <w:rPr>
          <w:rFonts w:hint="eastAsia"/>
          <w:sz w:val="24"/>
        </w:rPr>
        <w:t>四、</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w:t>
      </w:r>
      <w:r>
        <w:rPr>
          <w:rFonts w:hint="eastAsia" w:ascii="宋体" w:hAnsi="宋体"/>
          <w:color w:val="000000"/>
          <w:sz w:val="24"/>
          <w:lang w:val="en-US" w:eastAsia="zh-CN"/>
        </w:rPr>
        <w:t>30</w:t>
      </w:r>
      <w:r>
        <w:rPr>
          <w:rFonts w:hint="eastAsia" w:ascii="宋体" w:hAnsi="宋体"/>
          <w:color w:val="000000"/>
          <w:sz w:val="24"/>
        </w:rPr>
        <w:t>天内交货，交货地点为湖南省湘澧盐化有限责任公司</w:t>
      </w:r>
      <w:r>
        <w:rPr>
          <w:rFonts w:hint="eastAsia" w:ascii="宋体" w:hAnsi="宋体"/>
          <w:color w:val="000000"/>
          <w:sz w:val="24"/>
          <w:lang w:val="en-US" w:eastAsia="zh-CN"/>
        </w:rPr>
        <w:t>包装厂前坪</w:t>
      </w:r>
      <w:r>
        <w:rPr>
          <w:rFonts w:hint="eastAsia" w:ascii="宋体" w:hAnsi="宋体"/>
          <w:color w:val="000000"/>
          <w:sz w:val="24"/>
        </w:rPr>
        <w:t>。</w:t>
      </w:r>
    </w:p>
    <w:p>
      <w:pPr>
        <w:spacing w:line="460" w:lineRule="exact"/>
        <w:ind w:right="-2"/>
        <w:jc w:val="left"/>
        <w:rPr>
          <w:rFonts w:ascii="宋体" w:hAnsi="宋体"/>
          <w:color w:val="000000"/>
          <w:sz w:val="24"/>
        </w:rPr>
      </w:pPr>
      <w:r>
        <w:rPr>
          <w:rFonts w:hint="eastAsia" w:ascii="宋体" w:hAnsi="宋体"/>
          <w:color w:val="000000"/>
          <w:sz w:val="24"/>
        </w:rPr>
        <w:t>五、运输要求：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w:t>
      </w:r>
      <w:r>
        <w:rPr>
          <w:rFonts w:hint="eastAsia" w:ascii="宋体" w:hAnsi="宋体"/>
          <w:color w:val="000000"/>
          <w:sz w:val="24"/>
          <w:lang w:val="en-US" w:eastAsia="zh-CN"/>
        </w:rPr>
        <w:t>包装厂安装</w:t>
      </w:r>
      <w:r>
        <w:rPr>
          <w:rFonts w:hint="eastAsia" w:ascii="宋体" w:hAnsi="宋体"/>
          <w:color w:val="000000"/>
          <w:sz w:val="24"/>
        </w:rPr>
        <w:t>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rPr>
        <w:t>六、验收标准：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七、质保期：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w:t>
      </w:r>
      <w:r>
        <w:rPr>
          <w:rFonts w:hint="eastAsia" w:ascii="宋体" w:hAnsi="宋体"/>
          <w:color w:val="000000"/>
          <w:sz w:val="24"/>
          <w:lang w:val="en-US" w:eastAsia="zh-CN"/>
        </w:rPr>
        <w:t>维修或</w:t>
      </w:r>
      <w:r>
        <w:rPr>
          <w:rFonts w:hint="eastAsia" w:ascii="宋体" w:hAnsi="宋体"/>
          <w:color w:val="000000"/>
          <w:sz w:val="24"/>
        </w:rPr>
        <w:t>更换。</w:t>
      </w:r>
    </w:p>
    <w:p>
      <w:pPr>
        <w:autoSpaceDE w:val="0"/>
        <w:autoSpaceDN w:val="0"/>
        <w:adjustRightInd w:val="0"/>
        <w:spacing w:line="460" w:lineRule="exact"/>
        <w:rPr>
          <w:rFonts w:ascii="宋体"/>
          <w:color w:val="000000"/>
          <w:sz w:val="24"/>
        </w:rPr>
      </w:pPr>
      <w:r>
        <w:rPr>
          <w:rFonts w:hint="eastAsia" w:ascii="宋体" w:hAnsi="宋体"/>
          <w:color w:val="000000"/>
          <w:sz w:val="24"/>
        </w:rPr>
        <w:t>八、支付方式：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w:t>
      </w:r>
      <w:r>
        <w:rPr>
          <w:rFonts w:hint="eastAsia" w:ascii="宋体" w:hAnsi="宋体"/>
          <w:color w:val="000000"/>
          <w:sz w:val="24"/>
          <w:lang w:val="en-US" w:eastAsia="zh-CN"/>
        </w:rPr>
        <w:t>设备及相关材料等</w:t>
      </w:r>
      <w:r>
        <w:rPr>
          <w:rFonts w:hint="eastAsia" w:ascii="宋体" w:hAnsi="宋体"/>
          <w:color w:val="000000"/>
          <w:sz w:val="24"/>
        </w:rPr>
        <w:t>发货</w:t>
      </w:r>
      <w:r>
        <w:rPr>
          <w:rFonts w:hint="eastAsia" w:ascii="宋体" w:hAnsi="宋体"/>
          <w:color w:val="000000"/>
          <w:sz w:val="24"/>
          <w:lang w:val="en-US" w:eastAsia="zh-CN"/>
        </w:rPr>
        <w:t>到安装现场验收后，</w:t>
      </w:r>
      <w:r>
        <w:rPr>
          <w:rFonts w:hint="eastAsia" w:ascii="宋体" w:hAnsi="宋体"/>
          <w:color w:val="000000"/>
          <w:sz w:val="24"/>
        </w:rPr>
        <w:t>支付合同价款</w:t>
      </w:r>
      <w:r>
        <w:rPr>
          <w:rFonts w:hint="eastAsia" w:ascii="宋体" w:hAnsi="宋体"/>
          <w:color w:val="000000"/>
          <w:sz w:val="24"/>
          <w:lang w:val="en-US" w:eastAsia="zh-CN"/>
        </w:rPr>
        <w:t>到</w:t>
      </w:r>
      <w:r>
        <w:rPr>
          <w:rFonts w:hint="eastAsia" w:ascii="宋体" w:hAnsi="宋体"/>
          <w:color w:val="000000"/>
          <w:sz w:val="24"/>
        </w:rPr>
        <w:t>60%，安装验收合格后支付至合同价款的90%，留10%的质保金</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b w:val="0"/>
          <w:bCs w:val="0"/>
          <w:sz w:val="24"/>
        </w:rPr>
        <w:t>（1）</w:t>
      </w:r>
      <w:r>
        <w:rPr>
          <w:rFonts w:hint="eastAsia" w:ascii="宋体" w:hAnsi="宋体"/>
          <w:b w:val="0"/>
          <w:bCs w:val="0"/>
          <w:color w:val="000000"/>
          <w:sz w:val="24"/>
        </w:rPr>
        <w:t>本项目设最高</w:t>
      </w:r>
      <w:r>
        <w:rPr>
          <w:b w:val="0"/>
          <w:bCs w:val="0"/>
          <w:sz w:val="24"/>
        </w:rPr>
        <w:t>投标限价</w:t>
      </w:r>
      <w:r>
        <w:rPr>
          <w:rFonts w:hint="eastAsia"/>
          <w:b w:val="0"/>
          <w:bCs w:val="0"/>
          <w:sz w:val="24"/>
        </w:rPr>
        <w:t>，最高投标限价在投标截止时间到期后经评标委员会组织的评标预备会议上确定</w:t>
      </w:r>
      <w:r>
        <w:rPr>
          <w:rFonts w:hint="eastAsia"/>
          <w:b w:val="0"/>
          <w:bCs w:val="0"/>
          <w:sz w:val="24"/>
          <w:lang w:val="en-US" w:eastAsia="zh-CN"/>
        </w:rPr>
        <w:t>的</w:t>
      </w:r>
      <w:r>
        <w:rPr>
          <w:rFonts w:hint="eastAsia"/>
          <w:b w:val="0"/>
          <w:bCs w:val="0"/>
          <w:color w:val="auto"/>
          <w:sz w:val="24"/>
          <w:lang w:val="en-US" w:eastAsia="zh-CN"/>
        </w:rPr>
        <w:t>155</w:t>
      </w:r>
      <w:r>
        <w:rPr>
          <w:rFonts w:hint="eastAsia"/>
          <w:b w:val="0"/>
          <w:bCs w:val="0"/>
          <w:sz w:val="24"/>
          <w:lang w:val="en-US" w:eastAsia="zh-CN"/>
        </w:rPr>
        <w:t>万（</w:t>
      </w:r>
      <w:r>
        <w:rPr>
          <w:rFonts w:hint="eastAsia"/>
          <w:b w:val="0"/>
          <w:bCs w:val="0"/>
          <w:color w:val="auto"/>
          <w:sz w:val="24"/>
          <w:lang w:val="en-US" w:eastAsia="zh-CN"/>
        </w:rPr>
        <w:t>壹佰伍拾伍万元整</w:t>
      </w:r>
      <w:r>
        <w:rPr>
          <w:rFonts w:hint="eastAsia"/>
          <w:b w:val="0"/>
          <w:bCs w:val="0"/>
          <w:sz w:val="24"/>
          <w:lang w:val="en-US" w:eastAsia="zh-CN"/>
        </w:rPr>
        <w:t>）</w:t>
      </w:r>
      <w:r>
        <w:rPr>
          <w:rFonts w:hint="eastAsia"/>
          <w:b w:val="0"/>
          <w:bCs w:val="0"/>
          <w:sz w:val="24"/>
        </w:rPr>
        <w:t>。</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w:t>
      </w:r>
      <w:r>
        <w:rPr>
          <w:rFonts w:hint="eastAsia" w:ascii="宋体" w:hAnsi="宋体"/>
          <w:color w:val="000000"/>
          <w:sz w:val="24"/>
          <w:lang w:val="en-US" w:eastAsia="zh-CN"/>
        </w:rPr>
        <w:t>采购</w:t>
      </w:r>
      <w:r>
        <w:rPr>
          <w:rFonts w:hint="eastAsia" w:ascii="宋体" w:hAnsi="宋体"/>
          <w:color w:val="000000"/>
          <w:sz w:val="24"/>
        </w:rPr>
        <w:t>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szCs w:val="24"/>
        </w:rPr>
        <w:t>十</w:t>
      </w:r>
      <w:r>
        <w:rPr>
          <w:rFonts w:hint="eastAsia" w:ascii="宋体" w:hAnsi="宋体"/>
        </w:rPr>
        <w:t>、</w:t>
      </w:r>
      <w:r>
        <w:rPr>
          <w:rFonts w:hint="eastAsia" w:ascii="宋体" w:hAnsi="宋体"/>
          <w:sz w:val="24"/>
        </w:rPr>
        <w:t>投标文件份数：投标书一式</w:t>
      </w:r>
      <w:r>
        <w:rPr>
          <w:rFonts w:hint="eastAsia" w:ascii="宋体" w:hAnsi="宋体"/>
          <w:sz w:val="24"/>
          <w:lang w:val="en-US" w:eastAsia="zh-CN"/>
        </w:rPr>
        <w:t>二</w:t>
      </w:r>
      <w:r>
        <w:rPr>
          <w:rFonts w:hint="eastAsia" w:ascii="宋体" w:hAnsi="宋体"/>
          <w:sz w:val="24"/>
        </w:rPr>
        <w:t>份，其中正本</w:t>
      </w:r>
      <w:r>
        <w:rPr>
          <w:rFonts w:ascii="宋体" w:hAnsi="宋体"/>
          <w:sz w:val="24"/>
        </w:rPr>
        <w:t>1</w:t>
      </w:r>
      <w:r>
        <w:rPr>
          <w:rFonts w:hint="eastAsia" w:ascii="宋体" w:hAnsi="宋体"/>
          <w:sz w:val="24"/>
        </w:rPr>
        <w:t>份，副本</w:t>
      </w:r>
      <w:r>
        <w:rPr>
          <w:rFonts w:hint="eastAsia" w:ascii="宋体" w:hAnsi="宋体"/>
          <w:sz w:val="24"/>
          <w:lang w:val="en-US" w:eastAsia="zh-CN"/>
        </w:rPr>
        <w:t>1</w:t>
      </w:r>
      <w:r>
        <w:rPr>
          <w:rFonts w:hint="eastAsia" w:ascii="宋体" w:hAnsi="宋体"/>
          <w:sz w:val="24"/>
        </w:rPr>
        <w:t>份；投标书需装订成册，密封包装，并在封套的封口处加盖投标人单位章。</w:t>
      </w:r>
      <w:r>
        <w:rPr>
          <w:rFonts w:hint="eastAsia" w:ascii="宋体" w:hAnsi="宋体"/>
          <w:b w:val="0"/>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、开标、评标、中标：湘澧盐化招标委员会负责组织对投标文件进行审查和评标。按招标方《评标办法》</w:t>
      </w:r>
      <w:r>
        <w:rPr>
          <w:rFonts w:hint="eastAsia" w:ascii="宋体" w:hAnsi="宋体"/>
          <w:sz w:val="24"/>
          <w:lang w:val="en-US" w:eastAsia="zh-CN"/>
        </w:rPr>
        <w:t>相关内容</w:t>
      </w:r>
      <w:r>
        <w:rPr>
          <w:rFonts w:hint="eastAsia" w:ascii="宋体" w:hAnsi="宋体"/>
          <w:sz w:val="24"/>
        </w:rPr>
        <w:t>，</w:t>
      </w:r>
      <w:r>
        <w:rPr>
          <w:rFonts w:hint="eastAsia" w:ascii="宋体" w:hAnsi="宋体"/>
          <w:sz w:val="24"/>
          <w:lang w:val="en-US" w:eastAsia="zh-CN"/>
        </w:rPr>
        <w:t>确定</w:t>
      </w:r>
      <w:r>
        <w:rPr>
          <w:rFonts w:hint="eastAsia" w:ascii="宋体" w:hAnsi="宋体"/>
          <w:sz w:val="24"/>
        </w:rPr>
        <w:t>中标人。</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w:t>
      </w:r>
      <w:r>
        <w:rPr>
          <w:rFonts w:hint="eastAsia" w:ascii="宋体" w:hAnsi="宋体"/>
          <w:color w:val="000000"/>
          <w:sz w:val="24"/>
          <w:lang w:val="en-US" w:eastAsia="zh-CN"/>
        </w:rPr>
        <w:t>柒</w:t>
      </w:r>
      <w:r>
        <w:rPr>
          <w:rFonts w:hint="eastAsia" w:ascii="宋体" w:hAnsi="宋体"/>
          <w:color w:val="000000"/>
          <w:sz w:val="24"/>
        </w:rPr>
        <w:t>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10"/>
        <w:spacing w:line="460" w:lineRule="exact"/>
        <w:ind w:left="0" w:leftChars="0" w:firstLine="240" w:firstLineChars="100"/>
        <w:rPr>
          <w:rFonts w:ascii="宋体"/>
          <w:b/>
          <w:color w:val="000000"/>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w:t>
      </w:r>
      <w:r>
        <w:rPr>
          <w:rFonts w:hint="eastAsia" w:ascii="宋体" w:hAnsi="宋体"/>
          <w:color w:val="000000"/>
          <w:sz w:val="24"/>
          <w:szCs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2"/>
        <w:rPr>
          <w:rFonts w:hint="eastAsia" w:asciiTheme="majorEastAsia" w:hAnsiTheme="majorEastAsia" w:eastAsiaTheme="majorEastAsia"/>
          <w:sz w:val="44"/>
          <w:szCs w:val="4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评标委员会对满足招标文件实质性要求的投标文件，按照本</w:t>
      </w:r>
      <w:r>
        <w:rPr>
          <w:rFonts w:hint="eastAsia"/>
          <w:sz w:val="24"/>
        </w:rPr>
        <w:t>评标办法</w:t>
      </w:r>
      <w:r>
        <w:rPr>
          <w:sz w:val="24"/>
        </w:rPr>
        <w:t>由高到低顺序推荐中标候选人，或根据招标人授权直接确定中标人，但投标报价低于其成本的除外。</w:t>
      </w:r>
      <w:r>
        <w:rPr>
          <w:rFonts w:hint="eastAsia"/>
          <w:sz w:val="24"/>
          <w:lang w:val="en-US" w:eastAsia="zh-CN"/>
        </w:rPr>
        <w:t>评标得分相同的</w:t>
      </w:r>
      <w:r>
        <w:rPr>
          <w:sz w:val="24"/>
        </w:rPr>
        <w:t>，由招标人自行确定。</w:t>
      </w:r>
    </w:p>
    <w:p>
      <w:pPr>
        <w:spacing w:line="360" w:lineRule="auto"/>
        <w:rPr>
          <w:rFonts w:hint="eastAsia"/>
          <w:sz w:val="24"/>
        </w:rPr>
      </w:pPr>
      <w:r>
        <w:rPr>
          <w:rFonts w:hint="eastAsia"/>
          <w:sz w:val="24"/>
        </w:rPr>
        <w:t>2.投标文件的初步审查</w:t>
      </w:r>
    </w:p>
    <w:p>
      <w:pPr>
        <w:spacing w:line="360" w:lineRule="auto"/>
        <w:rPr>
          <w:rFonts w:hint="eastAsia"/>
          <w:sz w:val="24"/>
        </w:rPr>
      </w:pPr>
      <w:r>
        <w:rPr>
          <w:rFonts w:hint="eastAsia"/>
          <w:sz w:val="24"/>
        </w:rPr>
        <w:t>2.1初步审查分为资格性检查和符合性检查。</w:t>
      </w:r>
    </w:p>
    <w:p>
      <w:pPr>
        <w:spacing w:line="360" w:lineRule="auto"/>
        <w:rPr>
          <w:rFonts w:hint="eastAsia"/>
          <w:sz w:val="24"/>
        </w:rPr>
      </w:pPr>
      <w:r>
        <w:rPr>
          <w:rFonts w:hint="eastAsia"/>
          <w:sz w:val="24"/>
        </w:rPr>
        <w:t>（1）资格性检查。根据法律法规和招标文件的规定，评标委员会对投标文件中的资格证明等进行审查，以确定投标人是否具备投标资格。</w:t>
      </w:r>
    </w:p>
    <w:p>
      <w:pPr>
        <w:spacing w:line="360" w:lineRule="auto"/>
        <w:rPr>
          <w:rFonts w:hint="eastAsia"/>
          <w:sz w:val="24"/>
        </w:rPr>
      </w:pPr>
      <w:r>
        <w:rPr>
          <w:rFonts w:hint="eastAsia"/>
          <w:sz w:val="24"/>
        </w:rPr>
        <w:t>（2）符合性检查。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spacing w:line="360" w:lineRule="auto"/>
        <w:rPr>
          <w:rFonts w:hint="eastAsia"/>
          <w:sz w:val="24"/>
        </w:rPr>
      </w:pPr>
      <w:r>
        <w:rPr>
          <w:rFonts w:hint="eastAsia"/>
          <w:sz w:val="24"/>
        </w:rPr>
        <w:t>（3）实质上没有响应招标文件要求的投标将被否决。投标人不得通过修正、补充或撤销不合要求的偏离或保留从而使其投标成为实质上响应的投标。</w:t>
      </w:r>
    </w:p>
    <w:p>
      <w:pPr>
        <w:spacing w:line="360" w:lineRule="auto"/>
        <w:rPr>
          <w:rFonts w:hint="eastAsia"/>
          <w:sz w:val="24"/>
        </w:rPr>
      </w:pPr>
      <w:r>
        <w:rPr>
          <w:rFonts w:hint="eastAsia"/>
          <w:sz w:val="24"/>
        </w:rPr>
        <w:t>2.2投标文件有下列情形之一的，评标委员会应当否决其投标：</w:t>
      </w:r>
    </w:p>
    <w:p>
      <w:pPr>
        <w:spacing w:line="360" w:lineRule="auto"/>
        <w:rPr>
          <w:rFonts w:hint="eastAsia"/>
          <w:sz w:val="24"/>
        </w:rPr>
      </w:pPr>
      <w:r>
        <w:rPr>
          <w:rFonts w:hint="eastAsia"/>
          <w:sz w:val="24"/>
        </w:rPr>
        <w:t>（1）投标人不符合国家或者招标文件规定的资格条件的；</w:t>
      </w:r>
    </w:p>
    <w:p>
      <w:pPr>
        <w:spacing w:line="360" w:lineRule="auto"/>
        <w:rPr>
          <w:rFonts w:hint="eastAsia"/>
          <w:sz w:val="24"/>
        </w:rPr>
      </w:pPr>
      <w:r>
        <w:rPr>
          <w:rFonts w:hint="eastAsia"/>
          <w:sz w:val="24"/>
        </w:rPr>
        <w:t>（2）同一投标人提交两个以上不同的投标报价。</w:t>
      </w:r>
    </w:p>
    <w:p>
      <w:pPr>
        <w:spacing w:line="360" w:lineRule="auto"/>
        <w:rPr>
          <w:rFonts w:hint="eastAsia"/>
          <w:sz w:val="24"/>
        </w:rPr>
      </w:pPr>
      <w:r>
        <w:rPr>
          <w:rFonts w:hint="eastAsia"/>
          <w:sz w:val="24"/>
        </w:rPr>
        <w:t>（3）投标文件不满足招标文件中用文字规定或标注“★”符号的实质性要求的；</w:t>
      </w:r>
    </w:p>
    <w:p>
      <w:pPr>
        <w:spacing w:line="360" w:lineRule="auto"/>
        <w:rPr>
          <w:rFonts w:hint="eastAsia"/>
          <w:sz w:val="24"/>
        </w:rPr>
      </w:pPr>
      <w:r>
        <w:rPr>
          <w:rFonts w:hint="eastAsia"/>
          <w:sz w:val="24"/>
        </w:rPr>
        <w:t>（4）投标文件中非实质性要求条款超出允许偏离的最大范围或最高项数的；</w:t>
      </w:r>
    </w:p>
    <w:p>
      <w:pPr>
        <w:spacing w:line="360" w:lineRule="auto"/>
        <w:rPr>
          <w:rFonts w:hint="eastAsia"/>
          <w:sz w:val="24"/>
        </w:rPr>
      </w:pPr>
      <w:r>
        <w:rPr>
          <w:rFonts w:hint="eastAsia"/>
          <w:sz w:val="24"/>
        </w:rPr>
        <w:t>（5）投标报价高于招标文件设定的最高投标限价的；</w:t>
      </w:r>
    </w:p>
    <w:p>
      <w:pPr>
        <w:spacing w:line="360" w:lineRule="auto"/>
        <w:rPr>
          <w:rFonts w:hint="eastAsia"/>
          <w:sz w:val="24"/>
        </w:rPr>
      </w:pPr>
      <w:r>
        <w:rPr>
          <w:rFonts w:hint="eastAsia"/>
          <w:sz w:val="24"/>
        </w:rPr>
        <w:t>（6）投标有效期不足的；</w:t>
      </w:r>
    </w:p>
    <w:p>
      <w:pPr>
        <w:spacing w:line="360" w:lineRule="auto"/>
        <w:rPr>
          <w:rFonts w:hint="eastAsia"/>
          <w:sz w:val="24"/>
        </w:rPr>
      </w:pPr>
      <w:r>
        <w:rPr>
          <w:rFonts w:hint="eastAsia"/>
          <w:sz w:val="24"/>
        </w:rPr>
        <w:t>（7）不符合法律、法规和招标文件规定的。</w:t>
      </w:r>
    </w:p>
    <w:p>
      <w:pPr>
        <w:spacing w:line="360" w:lineRule="auto"/>
        <w:rPr>
          <w:rFonts w:hint="eastAsia"/>
          <w:sz w:val="24"/>
        </w:rPr>
      </w:pPr>
      <w:r>
        <w:rPr>
          <w:rFonts w:hint="eastAsia"/>
          <w:sz w:val="24"/>
        </w:rPr>
        <w:t>2.3串通投标的认定</w:t>
      </w:r>
    </w:p>
    <w:p>
      <w:pPr>
        <w:spacing w:line="360" w:lineRule="auto"/>
        <w:rPr>
          <w:rFonts w:hint="eastAsia"/>
          <w:sz w:val="24"/>
        </w:rPr>
      </w:pPr>
      <w:r>
        <w:rPr>
          <w:rFonts w:hint="eastAsia"/>
          <w:sz w:val="24"/>
        </w:rPr>
        <w:t>有下列情形之一的，经评标委员会集体表决后认定，视为投标人相互串通投标：</w:t>
      </w:r>
    </w:p>
    <w:p>
      <w:pPr>
        <w:spacing w:line="360" w:lineRule="auto"/>
        <w:rPr>
          <w:rFonts w:hint="eastAsia"/>
          <w:sz w:val="24"/>
        </w:rPr>
      </w:pPr>
      <w:r>
        <w:rPr>
          <w:rFonts w:hint="eastAsia"/>
          <w:sz w:val="24"/>
        </w:rPr>
        <w:t>（1）不同投标人的投标文件异常一致或者投标报价呈规律性差异；</w:t>
      </w:r>
    </w:p>
    <w:p>
      <w:pPr>
        <w:spacing w:line="360" w:lineRule="auto"/>
        <w:rPr>
          <w:rFonts w:hint="eastAsia"/>
          <w:sz w:val="24"/>
        </w:rPr>
      </w:pPr>
      <w:r>
        <w:rPr>
          <w:rFonts w:hint="eastAsia"/>
          <w:sz w:val="24"/>
        </w:rPr>
        <w:t>（2）不同投标人的投标文件由同一单位或者同一个人编制；</w:t>
      </w:r>
    </w:p>
    <w:p>
      <w:pPr>
        <w:spacing w:line="360" w:lineRule="auto"/>
        <w:rPr>
          <w:rFonts w:hint="eastAsia"/>
          <w:sz w:val="24"/>
        </w:rPr>
      </w:pPr>
      <w:r>
        <w:rPr>
          <w:rFonts w:hint="eastAsia"/>
          <w:sz w:val="24"/>
        </w:rPr>
        <w:t>（3）不同投标人委托同一单位或者个人办理投标事宜；</w:t>
      </w:r>
    </w:p>
    <w:p>
      <w:pPr>
        <w:spacing w:line="360" w:lineRule="auto"/>
        <w:rPr>
          <w:rFonts w:hint="eastAsia"/>
          <w:sz w:val="24"/>
        </w:rPr>
      </w:pPr>
      <w:r>
        <w:rPr>
          <w:rFonts w:hint="eastAsia"/>
          <w:sz w:val="24"/>
        </w:rPr>
        <w:t>（4）不同投标人的投标文件载明的项目管理成员为同一人；</w:t>
      </w:r>
    </w:p>
    <w:p>
      <w:pPr>
        <w:spacing w:line="360" w:lineRule="auto"/>
        <w:rPr>
          <w:sz w:val="24"/>
        </w:rPr>
      </w:pPr>
      <w:r>
        <w:rPr>
          <w:rFonts w:hint="eastAsia"/>
          <w:sz w:val="24"/>
        </w:rPr>
        <w:t>（5）不同投标人的投标文件相互混装；</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spacing w:before="4" w:line="360" w:lineRule="auto"/>
        <w:rPr>
          <w:rFonts w:hint="eastAsia"/>
          <w:sz w:val="24"/>
        </w:rPr>
      </w:pPr>
    </w:p>
    <w:p>
      <w:pPr>
        <w:spacing w:before="4" w:line="360" w:lineRule="auto"/>
        <w:rPr>
          <w:sz w:val="24"/>
        </w:rPr>
      </w:pPr>
      <w:r>
        <w:rPr>
          <w:rFonts w:hint="eastAsia"/>
          <w:sz w:val="24"/>
        </w:rPr>
        <w:t>4.投标报价评价：</w:t>
      </w:r>
    </w:p>
    <w:p>
      <w:pPr>
        <w:spacing w:before="4" w:line="360" w:lineRule="auto"/>
        <w:ind w:left="120"/>
        <w:rPr>
          <w:rFonts w:hint="default" w:eastAsia="宋体"/>
          <w:sz w:val="24"/>
          <w:lang w:val="en-US" w:eastAsia="zh-CN"/>
        </w:rPr>
      </w:pPr>
      <w:r>
        <w:rPr>
          <w:rFonts w:hint="eastAsia"/>
          <w:sz w:val="24"/>
          <w:lang w:val="en-US" w:eastAsia="zh-CN"/>
        </w:rPr>
        <w:t xml:space="preserve">  以投标报价最低价确定中标单位。</w:t>
      </w: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4" w:line="360" w:lineRule="auto"/>
        <w:ind w:left="120"/>
        <w:rPr>
          <w:sz w:val="24"/>
        </w:rPr>
      </w:pPr>
    </w:p>
    <w:p>
      <w:pPr>
        <w:spacing w:before="28" w:line="360" w:lineRule="auto"/>
        <w:ind w:right="99"/>
        <w:jc w:val="center"/>
        <w:rPr>
          <w:rFonts w:cs="Microsoft JhengHei" w:asciiTheme="majorEastAsia" w:hAnsiTheme="majorEastAsia" w:eastAsiaTheme="majorEastAsia"/>
          <w:b/>
          <w:bCs/>
          <w:kern w:val="0"/>
          <w:sz w:val="44"/>
          <w:szCs w:val="44"/>
          <w:lang w:val="zh-CN" w:bidi="zh-CN"/>
        </w:rPr>
      </w:pPr>
    </w:p>
    <w:p>
      <w:pPr>
        <w:spacing w:before="28" w:line="360" w:lineRule="auto"/>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8"/>
        <w:spacing w:before="5" w:line="360" w:lineRule="auto"/>
        <w:rPr>
          <w:sz w:val="22"/>
        </w:rPr>
      </w:pPr>
    </w:p>
    <w:p>
      <w:pPr>
        <w:spacing w:before="70" w:line="360" w:lineRule="auto"/>
        <w:ind w:right="536"/>
        <w:rPr>
          <w:rFonts w:hint="eastAsia"/>
          <w:sz w:val="24"/>
        </w:rPr>
      </w:pPr>
      <w:r>
        <w:rPr>
          <w:sz w:val="24"/>
        </w:rPr>
        <w:t>买方：</w:t>
      </w:r>
      <w:r>
        <w:rPr>
          <w:rFonts w:hint="eastAsia"/>
          <w:sz w:val="24"/>
          <w:lang w:val="en-US" w:eastAsia="zh-CN"/>
        </w:rPr>
        <w:t>湖南省湘澧盐化有限责任公司</w:t>
      </w:r>
      <w:r>
        <w:rPr>
          <w:rFonts w:hint="eastAsia"/>
          <w:sz w:val="24"/>
        </w:rPr>
        <w:t xml:space="preserve">      </w:t>
      </w:r>
    </w:p>
    <w:p>
      <w:pPr>
        <w:spacing w:before="70" w:line="360" w:lineRule="auto"/>
        <w:ind w:right="536"/>
        <w:rPr>
          <w:rFonts w:hint="eastAsia"/>
          <w:sz w:val="24"/>
        </w:rPr>
      </w:pPr>
      <w:r>
        <w:rPr>
          <w:sz w:val="24"/>
        </w:rPr>
        <w:t>卖方：</w:t>
      </w:r>
      <w:r>
        <w:rPr>
          <w:rFonts w:hint="eastAsia"/>
          <w:sz w:val="24"/>
        </w:rPr>
        <w:t xml:space="preserve">             </w:t>
      </w:r>
    </w:p>
    <w:p>
      <w:pPr>
        <w:spacing w:line="360" w:lineRule="auto"/>
        <w:ind w:right="536"/>
        <w:rPr>
          <w:sz w:val="24"/>
        </w:rPr>
      </w:pPr>
      <w:r>
        <w:rPr>
          <w:sz w:val="24"/>
        </w:rPr>
        <w:t>经买卖双方经过友好协商， 就有关事项达成如下协议，以资共同遵守。</w:t>
      </w:r>
    </w:p>
    <w:p>
      <w:pPr>
        <w:spacing w:line="360" w:lineRule="auto"/>
        <w:ind w:right="536"/>
        <w:rPr>
          <w:b/>
          <w:sz w:val="24"/>
        </w:rPr>
      </w:pPr>
      <w:bookmarkStart w:id="0" w:name="_bookmark0"/>
      <w:bookmarkEnd w:id="0"/>
      <w:r>
        <w:rPr>
          <w:b/>
          <w:sz w:val="24"/>
        </w:rPr>
        <w:t>一所需货物名称、规格及价格：</w:t>
      </w:r>
    </w:p>
    <w:tbl>
      <w:tblPr>
        <w:tblStyle w:val="15"/>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5"/>
              <w:spacing w:before="146" w:line="360" w:lineRule="auto"/>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5"/>
              <w:spacing w:before="146" w:line="360" w:lineRule="auto"/>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5"/>
              <w:spacing w:before="146" w:line="360" w:lineRule="auto"/>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5"/>
              <w:spacing w:before="146" w:line="360" w:lineRule="auto"/>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5"/>
              <w:tabs>
                <w:tab w:val="left" w:pos="824"/>
              </w:tabs>
              <w:spacing w:before="146" w:line="360" w:lineRule="auto"/>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5"/>
              <w:tabs>
                <w:tab w:val="left" w:pos="918"/>
              </w:tabs>
              <w:spacing w:before="146" w:line="360" w:lineRule="auto"/>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5"/>
              <w:spacing w:before="3" w:line="360" w:lineRule="auto"/>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513"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5"/>
              <w:spacing w:before="3" w:line="360" w:lineRule="auto"/>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513"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5"/>
              <w:spacing w:before="9" w:line="360" w:lineRule="auto"/>
              <w:rPr>
                <w:rFonts w:ascii="新宋体"/>
                <w:sz w:val="19"/>
              </w:rPr>
            </w:pPr>
          </w:p>
          <w:p>
            <w:pPr>
              <w:pStyle w:val="25"/>
              <w:spacing w:line="360" w:lineRule="auto"/>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5"/>
              <w:spacing w:before="35" w:line="360" w:lineRule="auto"/>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spacing w:line="360" w:lineRule="auto"/>
              <w:rPr>
                <w:sz w:val="2"/>
                <w:szCs w:val="2"/>
              </w:rPr>
            </w:pPr>
          </w:p>
        </w:tc>
        <w:tc>
          <w:tcPr>
            <w:tcW w:w="6620" w:type="dxa"/>
            <w:gridSpan w:val="4"/>
            <w:tcBorders>
              <w:top w:val="single" w:color="000000" w:sz="6" w:space="0"/>
              <w:left w:val="single" w:color="000000" w:sz="6" w:space="0"/>
            </w:tcBorders>
          </w:tcPr>
          <w:p>
            <w:pPr>
              <w:pStyle w:val="25"/>
              <w:spacing w:before="27" w:line="360" w:lineRule="auto"/>
              <w:ind w:left="105"/>
              <w:rPr>
                <w:rFonts w:ascii="新宋体" w:eastAsia="新宋体"/>
              </w:rPr>
            </w:pPr>
            <w:r>
              <w:rPr>
                <w:rFonts w:hint="eastAsia" w:ascii="新宋体" w:eastAsia="新宋体"/>
              </w:rPr>
              <w:t>大写：</w:t>
            </w:r>
          </w:p>
        </w:tc>
      </w:tr>
    </w:tbl>
    <w:p>
      <w:pPr>
        <w:tabs>
          <w:tab w:val="left" w:pos="659"/>
        </w:tabs>
        <w:spacing w:line="360" w:lineRule="auto"/>
        <w:ind w:right="536"/>
        <w:rPr>
          <w:rFonts w:ascii="新宋体" w:eastAsia="新宋体"/>
          <w:b/>
          <w:spacing w:val="-19"/>
          <w:w w:val="95"/>
          <w:sz w:val="24"/>
        </w:rPr>
      </w:pPr>
      <w:r>
        <w:rPr>
          <w:sz w:val="24"/>
        </w:rPr>
        <mc:AlternateContent>
          <mc:Choice Requires="wps">
            <w:drawing>
              <wp:anchor distT="0" distB="0" distL="114300" distR="114300" simplePos="0" relativeHeight="251660288" behindDoc="0" locked="0" layoutInCell="1" allowOverlap="1">
                <wp:simplePos x="0" y="0"/>
                <wp:positionH relativeFrom="page">
                  <wp:posOffset>826770</wp:posOffset>
                </wp:positionH>
                <wp:positionV relativeFrom="paragraph">
                  <wp:posOffset>104775</wp:posOffset>
                </wp:positionV>
                <wp:extent cx="6254750" cy="175577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254750" cy="1755775"/>
                        </a:xfrm>
                        <a:prstGeom prst="rect">
                          <a:avLst/>
                        </a:prstGeom>
                        <a:noFill/>
                        <a:ln>
                          <a:noFill/>
                        </a:ln>
                      </wps:spPr>
                      <wps:txbx>
                        <w:txbxContent>
                          <w:p>
                            <w:pPr>
                              <w:pStyle w:val="8"/>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5.1pt;margin-top:8.25pt;height:138.25pt;width:492.5pt;mso-position-horizontal-relative:page;z-index:251660288;mso-width-relative:page;mso-height-relative:page;" filled="f" stroked="f" coordsize="21600,21600" o:gfxdata="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hHtPJ2QAAAAsBAAAPAAAAAAAAAAEA&#10;IAAAACIAAABkcnMvZG93bnJldi54bWxQSwECFAAUAAAACACHTuJAjvJ/PA4CAAAGBAAADgAAAAAA&#10;AAABACAAAAAoAQAAZHJzL2Uyb0RvYy54bWxQSwUGAAAAAAYABgBZAQAAqAUAAAAA&#10;">
                <v:fill on="f" focussize="0,0"/>
                <v:stroke on="f"/>
                <v:imagedata o:title=""/>
                <o:lock v:ext="edit" aspectratio="f"/>
                <v:textbox inset="0mm,0mm,0mm,0mm">
                  <w:txbxContent>
                    <w:p>
                      <w:pPr>
                        <w:pStyle w:val="8"/>
                      </w:pPr>
                    </w:p>
                  </w:txbxContent>
                </v:textbox>
              </v:shape>
            </w:pict>
          </mc:Fallback>
        </mc:AlternateContent>
      </w: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360" w:lineRule="auto"/>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360" w:lineRule="auto"/>
        <w:ind w:right="536"/>
        <w:rPr>
          <w:rFonts w:ascii="新宋体" w:eastAsia="新宋体"/>
          <w:sz w:val="24"/>
        </w:rPr>
      </w:pPr>
      <w:r>
        <w:rPr>
          <w:rFonts w:hint="eastAsia" w:ascii="新宋体" w:eastAsia="新宋体"/>
          <w:sz w:val="24"/>
        </w:rPr>
        <w:t>卖方应向用户提供以下技术文件：</w:t>
      </w:r>
    </w:p>
    <w:p>
      <w:pPr>
        <w:spacing w:before="118" w:line="360" w:lineRule="auto"/>
        <w:ind w:right="536"/>
        <w:rPr>
          <w:rFonts w:ascii="新宋体" w:eastAsia="新宋体"/>
          <w:sz w:val="24"/>
        </w:rPr>
      </w:pPr>
      <w:r>
        <w:rPr>
          <w:rFonts w:hint="eastAsia" w:ascii="新宋体" w:eastAsia="新宋体"/>
          <w:sz w:val="24"/>
        </w:rPr>
        <w:t>1、 设备使用手册、安装使用指南、维护维修（含线路图）说明书或服务手册。</w:t>
      </w:r>
      <w:r>
        <w:rPr>
          <w:rFonts w:hint="eastAsia" w:ascii="新宋体" w:eastAsia="新宋体"/>
          <w:sz w:val="24"/>
          <w:lang w:val="en-US" w:eastAsia="zh-CN"/>
        </w:rPr>
        <w:t>进口设备及备件</w:t>
      </w:r>
      <w:r>
        <w:rPr>
          <w:rFonts w:hint="eastAsia" w:ascii="新宋体" w:eastAsia="新宋体"/>
          <w:sz w:val="24"/>
        </w:rPr>
        <w:t>资料必须提供中、英文对照文本；</w:t>
      </w:r>
    </w:p>
    <w:p>
      <w:pPr>
        <w:spacing w:line="360" w:lineRule="auto"/>
        <w:ind w:right="536"/>
        <w:rPr>
          <w:rFonts w:ascii="新宋体" w:eastAsia="新宋体"/>
          <w:sz w:val="24"/>
        </w:rPr>
      </w:pPr>
      <w:r>
        <w:rPr>
          <w:rFonts w:hint="eastAsia" w:ascii="新宋体" w:eastAsia="新宋体"/>
          <w:sz w:val="24"/>
        </w:rPr>
        <w:t>2、 设备技术参数表、设备制造、安装、调试、验收规范；</w:t>
      </w:r>
    </w:p>
    <w:p>
      <w:pPr>
        <w:spacing w:before="118" w:line="360" w:lineRule="auto"/>
        <w:ind w:right="536"/>
        <w:rPr>
          <w:rFonts w:ascii="新宋体" w:eastAsia="新宋体"/>
          <w:sz w:val="24"/>
        </w:rPr>
      </w:pPr>
      <w:r>
        <w:rPr>
          <w:rFonts w:hint="eastAsia" w:ascii="新宋体" w:eastAsia="新宋体"/>
          <w:sz w:val="24"/>
        </w:rPr>
        <w:t>3、 中文操作手册、安装、调试及使用说明书；</w:t>
      </w:r>
    </w:p>
    <w:p>
      <w:pPr>
        <w:spacing w:before="118" w:line="360" w:lineRule="auto"/>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360" w:lineRule="auto"/>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360" w:lineRule="auto"/>
        <w:ind w:right="536"/>
        <w:rPr>
          <w:rFonts w:ascii="新宋体" w:eastAsia="新宋体"/>
          <w:sz w:val="24"/>
        </w:rPr>
      </w:pPr>
      <w:r>
        <w:rPr>
          <w:rFonts w:hint="eastAsia" w:ascii="新宋体" w:eastAsia="新宋体"/>
          <w:sz w:val="24"/>
        </w:rPr>
        <w:t>6、 须提供海关报关单（如为进口设备）；</w:t>
      </w:r>
    </w:p>
    <w:p>
      <w:pPr>
        <w:tabs>
          <w:tab w:val="left" w:pos="657"/>
        </w:tabs>
        <w:spacing w:line="360" w:lineRule="auto"/>
        <w:ind w:right="536"/>
        <w:rPr>
          <w:rFonts w:ascii="新宋体" w:eastAsia="新宋体"/>
          <w:b/>
          <w:sz w:val="24"/>
        </w:rPr>
      </w:pPr>
      <w:r>
        <w:rPr>
          <w:rFonts w:hint="eastAsia" w:ascii="新宋体" w:eastAsia="新宋体"/>
          <w:b/>
          <w:sz w:val="24"/>
        </w:rPr>
        <w:t>三</w:t>
      </w:r>
      <w:r>
        <w:rPr>
          <w:rFonts w:hint="eastAsia" w:ascii="新宋体" w:eastAsia="新宋体"/>
          <w:b/>
          <w:sz w:val="24"/>
        </w:rPr>
        <w:tab/>
      </w:r>
      <w:r>
        <w:rPr>
          <w:rFonts w:hint="eastAsia" w:ascii="新宋体" w:eastAsia="新宋体"/>
          <w:b/>
          <w:sz w:val="24"/>
        </w:rPr>
        <w:t>质量保证：</w:t>
      </w:r>
    </w:p>
    <w:p>
      <w:pPr>
        <w:spacing w:before="118" w:line="360" w:lineRule="auto"/>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360" w:lineRule="auto"/>
        <w:ind w:right="536"/>
        <w:rPr>
          <w:rFonts w:ascii="新宋体" w:eastAsia="新宋体"/>
          <w:sz w:val="24"/>
        </w:rPr>
      </w:pPr>
      <w:r>
        <w:rPr>
          <w:rFonts w:hint="eastAsia" w:ascii="新宋体" w:eastAsia="新宋体"/>
          <w:sz w:val="24"/>
        </w:rPr>
        <w:t>2、 卖方严格按照招标文件要求提供符合国家技术标准的产品。</w:t>
      </w:r>
    </w:p>
    <w:p>
      <w:pPr>
        <w:spacing w:before="119" w:line="360" w:lineRule="auto"/>
        <w:ind w:right="536"/>
        <w:rPr>
          <w:rFonts w:ascii="新宋体" w:eastAsia="新宋体"/>
          <w:sz w:val="24"/>
        </w:rPr>
        <w:sectPr>
          <w:footerReference r:id="rId3" w:type="default"/>
          <w:pgSz w:w="11910" w:h="16840"/>
          <w:pgMar w:top="1560" w:right="995" w:bottom="780" w:left="1460" w:header="0" w:footer="500" w:gutter="0"/>
          <w:pgBorders>
            <w:top w:val="none" w:sz="0" w:space="0"/>
            <w:left w:val="none" w:sz="0" w:space="0"/>
            <w:bottom w:val="none" w:sz="0" w:space="0"/>
            <w:right w:val="none" w:sz="0" w:space="0"/>
          </w:pgBorders>
          <w:cols w:space="720" w:num="1"/>
        </w:sectPr>
      </w:pPr>
      <w:r>
        <w:rPr>
          <w:rFonts w:hint="eastAsia" w:ascii="新宋体" w:eastAsia="新宋体"/>
          <w:sz w:val="24"/>
        </w:rPr>
        <w:t>3、 卖方必须保证提供的货物是全新的，并且符合国家有关检测标准以及该产品的出厂标准。</w:t>
      </w:r>
    </w:p>
    <w:p>
      <w:pPr>
        <w:tabs>
          <w:tab w:val="left" w:pos="659"/>
        </w:tabs>
        <w:spacing w:before="58" w:line="360" w:lineRule="auto"/>
        <w:ind w:right="536"/>
        <w:rPr>
          <w:rFonts w:ascii="新宋体" w:eastAsia="新宋体"/>
          <w:b/>
          <w:sz w:val="24"/>
        </w:rPr>
      </w:pPr>
      <w:r>
        <w:rPr>
          <w:rFonts w:hint="eastAsia" w:ascii="新宋体" w:eastAsia="新宋体"/>
          <w:b/>
          <w:sz w:val="24"/>
        </w:rPr>
        <w:t>四</w:t>
      </w:r>
      <w:r>
        <w:rPr>
          <w:rFonts w:hint="eastAsia" w:ascii="新宋体" w:eastAsia="新宋体"/>
          <w:b/>
          <w:sz w:val="24"/>
        </w:rPr>
        <w:tab/>
      </w:r>
      <w:r>
        <w:rPr>
          <w:rFonts w:hint="eastAsia" w:ascii="新宋体" w:eastAsia="新宋体"/>
          <w:b/>
          <w:sz w:val="24"/>
        </w:rPr>
        <w:t>设备安装与验收：</w:t>
      </w:r>
    </w:p>
    <w:p>
      <w:pPr>
        <w:spacing w:before="118" w:line="360" w:lineRule="auto"/>
        <w:ind w:right="536"/>
        <w:rPr>
          <w:rFonts w:ascii="新宋体" w:eastAsia="新宋体"/>
          <w:sz w:val="24"/>
        </w:rPr>
      </w:pPr>
      <w:r>
        <w:rPr>
          <w:rFonts w:hint="eastAsia" w:ascii="新宋体" w:eastAsia="新宋体"/>
          <w:sz w:val="24"/>
        </w:rPr>
        <w:t>1、 卖方应负责货物的</w:t>
      </w:r>
      <w:r>
        <w:rPr>
          <w:rFonts w:hint="eastAsia" w:ascii="新宋体" w:eastAsia="新宋体"/>
          <w:sz w:val="24"/>
          <w:lang w:val="en-US" w:eastAsia="zh-CN"/>
        </w:rPr>
        <w:t>采购、制作、</w:t>
      </w:r>
      <w:r>
        <w:rPr>
          <w:rFonts w:hint="eastAsia" w:ascii="新宋体" w:eastAsia="新宋体"/>
          <w:b w:val="0"/>
          <w:bCs/>
          <w:sz w:val="24"/>
        </w:rPr>
        <w:t>安装、调试，</w:t>
      </w:r>
      <w:r>
        <w:rPr>
          <w:rFonts w:hint="eastAsia" w:ascii="新宋体" w:eastAsia="新宋体"/>
          <w:sz w:val="24"/>
        </w:rPr>
        <w:t>按合同规定的时间交货后日内需安装、调试、验收完毕。</w:t>
      </w:r>
    </w:p>
    <w:p>
      <w:pPr>
        <w:spacing w:before="118" w:line="360" w:lineRule="auto"/>
        <w:ind w:right="536"/>
        <w:rPr>
          <w:rFonts w:ascii="新宋体" w:eastAsia="新宋体"/>
          <w:sz w:val="24"/>
        </w:rPr>
      </w:pPr>
      <w:r>
        <w:rPr>
          <w:rFonts w:hint="eastAsia" w:ascii="新宋体" w:eastAsia="新宋体"/>
          <w:sz w:val="24"/>
        </w:rPr>
        <w:t>2、 验收地点：用户单位。</w:t>
      </w:r>
    </w:p>
    <w:p>
      <w:pPr>
        <w:spacing w:before="118" w:line="360" w:lineRule="auto"/>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360" w:lineRule="auto"/>
        <w:ind w:right="536"/>
        <w:rPr>
          <w:rFonts w:ascii="新宋体" w:eastAsia="新宋体"/>
          <w:b/>
          <w:sz w:val="24"/>
        </w:rPr>
      </w:pPr>
      <w:r>
        <w:rPr>
          <w:rFonts w:hint="eastAsia" w:ascii="新宋体" w:eastAsia="新宋体"/>
          <w:b/>
          <w:sz w:val="24"/>
        </w:rPr>
        <w:t>五 培 训 ：</w:t>
      </w:r>
    </w:p>
    <w:p>
      <w:pPr>
        <w:spacing w:before="118" w:line="360" w:lineRule="auto"/>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360" w:lineRule="auto"/>
        <w:ind w:right="536"/>
        <w:rPr>
          <w:rFonts w:ascii="新宋体" w:eastAsia="新宋体"/>
          <w:b/>
          <w:sz w:val="24"/>
        </w:rPr>
      </w:pPr>
      <w:r>
        <w:rPr>
          <w:rFonts w:hint="eastAsia" w:ascii="新宋体" w:eastAsia="新宋体"/>
          <w:b/>
          <w:sz w:val="24"/>
        </w:rPr>
        <w:t>六</w:t>
      </w:r>
      <w:r>
        <w:rPr>
          <w:rFonts w:hint="eastAsia" w:ascii="新宋体" w:eastAsia="新宋体"/>
          <w:b/>
          <w:sz w:val="24"/>
        </w:rPr>
        <w:tab/>
      </w:r>
      <w:r>
        <w:rPr>
          <w:rFonts w:hint="eastAsia" w:ascii="新宋体" w:eastAsia="新宋体"/>
          <w:b/>
          <w:sz w:val="24"/>
        </w:rPr>
        <w:t>特殊工具：</w:t>
      </w:r>
    </w:p>
    <w:p>
      <w:pPr>
        <w:spacing w:before="118" w:line="360" w:lineRule="auto"/>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360" w:lineRule="auto"/>
        <w:ind w:right="536"/>
        <w:rPr>
          <w:rFonts w:ascii="新宋体" w:eastAsia="新宋体"/>
          <w:b/>
          <w:sz w:val="24"/>
        </w:rPr>
      </w:pPr>
      <w:r>
        <w:rPr>
          <w:rFonts w:hint="eastAsia" w:ascii="新宋体" w:eastAsia="新宋体"/>
          <w:b/>
          <w:sz w:val="24"/>
        </w:rPr>
        <w:t>七</w:t>
      </w:r>
      <w:r>
        <w:rPr>
          <w:rFonts w:hint="eastAsia" w:ascii="新宋体" w:eastAsia="新宋体"/>
          <w:b/>
          <w:sz w:val="24"/>
        </w:rPr>
        <w:tab/>
      </w:r>
      <w:r>
        <w:rPr>
          <w:rFonts w:hint="eastAsia" w:ascii="新宋体" w:eastAsia="新宋体"/>
          <w:b/>
          <w:w w:val="95"/>
          <w:sz w:val="24"/>
        </w:rPr>
        <w:t>质保期：</w:t>
      </w:r>
    </w:p>
    <w:p>
      <w:pPr>
        <w:spacing w:before="118" w:line="360" w:lineRule="auto"/>
        <w:ind w:right="536" w:firstLine="480" w:firstLineChars="200"/>
        <w:rPr>
          <w:rFonts w:ascii="新宋体" w:eastAsia="新宋体"/>
          <w:sz w:val="24"/>
        </w:rPr>
      </w:pPr>
      <w:r>
        <w:rPr>
          <w:rFonts w:hint="eastAsia" w:ascii="新宋体" w:eastAsia="新宋体"/>
          <w:b w:val="0"/>
          <w:bCs/>
          <w:sz w:val="24"/>
        </w:rPr>
        <w:t>质保期为验收合格后</w:t>
      </w:r>
      <w:r>
        <w:rPr>
          <w:rFonts w:hint="eastAsia" w:ascii="新宋体" w:eastAsia="新宋体"/>
          <w:b w:val="0"/>
          <w:bCs/>
          <w:sz w:val="24"/>
          <w:u w:val="thick"/>
        </w:rPr>
        <w:t>12</w:t>
      </w:r>
      <w:r>
        <w:rPr>
          <w:rFonts w:hint="eastAsia" w:ascii="新宋体" w:eastAsia="新宋体"/>
          <w:b w:val="0"/>
          <w:bCs/>
          <w:sz w:val="24"/>
        </w:rPr>
        <w:t>个月</w:t>
      </w:r>
      <w:r>
        <w:rPr>
          <w:rFonts w:hint="eastAsia" w:ascii="新宋体" w:eastAsia="新宋体"/>
          <w:sz w:val="24"/>
        </w:rPr>
        <w:t>（各品目有具体要求的按照设备要求）。在质保期内，如有质量问题，卖方应免费</w:t>
      </w:r>
      <w:r>
        <w:rPr>
          <w:rFonts w:hint="eastAsia" w:ascii="新宋体" w:eastAsia="新宋体"/>
          <w:sz w:val="24"/>
          <w:lang w:val="en-US" w:eastAsia="zh-CN"/>
        </w:rPr>
        <w:t>维修或</w:t>
      </w:r>
      <w:r>
        <w:rPr>
          <w:rFonts w:hint="eastAsia" w:ascii="新宋体" w:eastAsia="新宋体"/>
          <w:sz w:val="24"/>
        </w:rPr>
        <w:t>更换。</w:t>
      </w:r>
    </w:p>
    <w:p>
      <w:pPr>
        <w:tabs>
          <w:tab w:val="left" w:pos="659"/>
        </w:tabs>
        <w:spacing w:before="1" w:line="360" w:lineRule="auto"/>
        <w:ind w:right="536"/>
        <w:rPr>
          <w:rFonts w:ascii="新宋体" w:eastAsia="新宋体"/>
          <w:b/>
          <w:sz w:val="24"/>
        </w:rPr>
      </w:pPr>
      <w:r>
        <w:rPr>
          <w:rFonts w:hint="eastAsia" w:ascii="新宋体" w:eastAsia="新宋体"/>
          <w:b/>
          <w:sz w:val="24"/>
        </w:rPr>
        <w:t>八</w:t>
      </w:r>
      <w:r>
        <w:rPr>
          <w:rFonts w:hint="eastAsia" w:ascii="新宋体" w:eastAsia="新宋体"/>
          <w:b/>
          <w:sz w:val="24"/>
        </w:rPr>
        <w:tab/>
      </w:r>
      <w:r>
        <w:rPr>
          <w:rFonts w:hint="eastAsia" w:ascii="新宋体" w:eastAsia="新宋体"/>
          <w:b/>
          <w:sz w:val="24"/>
        </w:rPr>
        <w:t>备品备件：</w:t>
      </w:r>
    </w:p>
    <w:p>
      <w:pPr>
        <w:spacing w:before="118" w:line="360" w:lineRule="auto"/>
        <w:ind w:right="536"/>
        <w:rPr>
          <w:rFonts w:ascii="新宋体" w:eastAsia="新宋体"/>
          <w:sz w:val="24"/>
        </w:rPr>
      </w:pPr>
      <w:r>
        <w:rPr>
          <w:rFonts w:hint="eastAsia" w:ascii="新宋体" w:eastAsia="新宋体"/>
          <w:sz w:val="24"/>
        </w:rPr>
        <w:t>1、 卖方应提供按出厂标准供应的备品备件清单。</w:t>
      </w:r>
    </w:p>
    <w:p>
      <w:pPr>
        <w:spacing w:before="118" w:line="360" w:lineRule="auto"/>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360" w:lineRule="auto"/>
        <w:ind w:right="536"/>
        <w:rPr>
          <w:rFonts w:ascii="新宋体" w:eastAsia="新宋体"/>
          <w:b/>
          <w:sz w:val="24"/>
        </w:rPr>
      </w:pPr>
      <w:r>
        <w:rPr>
          <w:rFonts w:hint="eastAsia" w:ascii="新宋体" w:eastAsia="新宋体"/>
          <w:b/>
          <w:sz w:val="24"/>
        </w:rPr>
        <w:t>九</w:t>
      </w:r>
      <w:r>
        <w:rPr>
          <w:rFonts w:hint="eastAsia" w:ascii="新宋体" w:eastAsia="新宋体"/>
          <w:b/>
          <w:sz w:val="24"/>
        </w:rPr>
        <w:tab/>
      </w:r>
      <w:r>
        <w:rPr>
          <w:rFonts w:hint="eastAsia" w:ascii="新宋体" w:eastAsia="新宋体"/>
          <w:b/>
          <w:w w:val="95"/>
          <w:sz w:val="24"/>
        </w:rPr>
        <w:t>售后服务：</w:t>
      </w:r>
    </w:p>
    <w:p>
      <w:pPr>
        <w:spacing w:before="118" w:line="360" w:lineRule="auto"/>
        <w:ind w:right="536"/>
        <w:rPr>
          <w:rFonts w:ascii="新宋体" w:eastAsia="新宋体"/>
          <w:sz w:val="24"/>
        </w:rPr>
      </w:pPr>
      <w:r>
        <w:rPr>
          <w:rFonts w:hint="eastAsia" w:ascii="新宋体" w:eastAsia="新宋体"/>
          <w:sz w:val="24"/>
        </w:rPr>
        <w:t>1、 在货物的质保期内，如有制造质量的问题或质量缺陷，卖方应免费予以</w:t>
      </w:r>
      <w:r>
        <w:rPr>
          <w:rFonts w:hint="eastAsia" w:ascii="新宋体" w:eastAsia="新宋体"/>
          <w:sz w:val="24"/>
          <w:lang w:val="en-US" w:eastAsia="zh-CN"/>
        </w:rPr>
        <w:t>维修或</w:t>
      </w:r>
      <w:r>
        <w:rPr>
          <w:rFonts w:hint="eastAsia" w:ascii="新宋体" w:eastAsia="新宋体"/>
          <w:sz w:val="24"/>
        </w:rPr>
        <w:t>更换，保证用户工作及时正常运行。在用户使用的头三个月内，同一台设备</w:t>
      </w:r>
      <w:r>
        <w:rPr>
          <w:rFonts w:hint="eastAsia" w:ascii="新宋体" w:eastAsia="新宋体"/>
          <w:sz w:val="24"/>
          <w:lang w:val="en-US" w:eastAsia="zh-CN"/>
        </w:rPr>
        <w:t>或部件等</w:t>
      </w:r>
      <w:r>
        <w:rPr>
          <w:rFonts w:hint="eastAsia" w:ascii="新宋体" w:eastAsia="新宋体"/>
          <w:sz w:val="24"/>
        </w:rPr>
        <w:t>出现第二次质量问题，卖方应免费整体更换。卖方须在质保期内应免费提供备件并</w:t>
      </w:r>
      <w:r>
        <w:rPr>
          <w:rFonts w:hint="eastAsia" w:ascii="新宋体" w:eastAsia="新宋体"/>
          <w:sz w:val="24"/>
          <w:lang w:val="en-US" w:eastAsia="zh-CN"/>
        </w:rPr>
        <w:t>承担</w:t>
      </w:r>
      <w:r>
        <w:rPr>
          <w:rFonts w:hint="eastAsia" w:ascii="新宋体" w:eastAsia="新宋体"/>
          <w:sz w:val="24"/>
        </w:rPr>
        <w:t>终身</w:t>
      </w:r>
      <w:r>
        <w:rPr>
          <w:rFonts w:hint="eastAsia" w:ascii="新宋体" w:eastAsia="新宋体"/>
          <w:sz w:val="24"/>
          <w:lang w:val="en-US" w:eastAsia="zh-CN"/>
        </w:rPr>
        <w:t>有价</w:t>
      </w:r>
      <w:r>
        <w:rPr>
          <w:rFonts w:hint="eastAsia" w:ascii="新宋体" w:eastAsia="新宋体"/>
          <w:sz w:val="24"/>
        </w:rPr>
        <w:t>维修</w:t>
      </w:r>
      <w:r>
        <w:rPr>
          <w:rFonts w:hint="eastAsia" w:ascii="新宋体" w:eastAsia="新宋体"/>
          <w:sz w:val="24"/>
          <w:lang w:val="en-US" w:eastAsia="zh-CN"/>
        </w:rPr>
        <w:t>责任</w:t>
      </w:r>
      <w:r>
        <w:rPr>
          <w:rFonts w:hint="eastAsia" w:ascii="新宋体" w:eastAsia="新宋体"/>
          <w:sz w:val="24"/>
        </w:rPr>
        <w:t>。</w:t>
      </w:r>
    </w:p>
    <w:p>
      <w:pPr>
        <w:spacing w:line="360" w:lineRule="auto"/>
        <w:ind w:right="536"/>
        <w:rPr>
          <w:rFonts w:ascii="新宋体" w:eastAsia="新宋体"/>
          <w:sz w:val="24"/>
        </w:rPr>
      </w:pPr>
      <w:r>
        <w:rPr>
          <w:rFonts w:hint="eastAsia" w:ascii="新宋体" w:eastAsia="新宋体"/>
          <w:sz w:val="24"/>
        </w:rPr>
        <w:t>2、 卖方应在质保期内提供免费上门维修服务，并进行终身维护，需注明售后服务机构的名称、联系方法并提供证明材料。</w:t>
      </w:r>
    </w:p>
    <w:p>
      <w:pPr>
        <w:spacing w:line="360" w:lineRule="auto"/>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360" w:lineRule="auto"/>
        <w:ind w:right="536"/>
        <w:rPr>
          <w:rFonts w:ascii="新宋体" w:eastAsia="新宋体"/>
          <w:b/>
          <w:sz w:val="24"/>
        </w:rPr>
      </w:pPr>
      <w:r>
        <w:rPr>
          <w:rFonts w:hint="eastAsia" w:ascii="新宋体" w:eastAsia="新宋体"/>
          <w:b/>
          <w:sz w:val="24"/>
        </w:rPr>
        <w:t>十</w:t>
      </w:r>
      <w:r>
        <w:rPr>
          <w:rFonts w:hint="eastAsia" w:ascii="新宋体" w:eastAsia="新宋体"/>
          <w:b/>
          <w:sz w:val="24"/>
        </w:rPr>
        <w:tab/>
      </w:r>
      <w:r>
        <w:rPr>
          <w:rFonts w:hint="eastAsia" w:ascii="新宋体" w:eastAsia="新宋体"/>
          <w:b/>
          <w:sz w:val="24"/>
        </w:rPr>
        <w:t>交货时间、地点：</w:t>
      </w:r>
    </w:p>
    <w:p>
      <w:pPr>
        <w:spacing w:before="4" w:line="360" w:lineRule="auto"/>
        <w:ind w:right="536"/>
        <w:rPr>
          <w:rFonts w:ascii="新宋体" w:eastAsia="新宋体"/>
          <w:sz w:val="24"/>
        </w:rPr>
      </w:pPr>
      <w:r>
        <w:rPr>
          <w:rFonts w:hint="eastAsia" w:ascii="新宋体" w:eastAsia="新宋体"/>
          <w:sz w:val="24"/>
        </w:rPr>
        <w:t xml:space="preserve">1、 交货时间： </w:t>
      </w:r>
      <w:r>
        <w:rPr>
          <w:rFonts w:hint="eastAsia" w:ascii="新宋体" w:eastAsia="新宋体"/>
          <w:sz w:val="24"/>
          <w:lang w:val="en-US" w:eastAsia="zh-CN"/>
        </w:rPr>
        <w:t>30</w:t>
      </w:r>
      <w:r>
        <w:rPr>
          <w:rFonts w:hint="eastAsia" w:ascii="新宋体" w:eastAsia="新宋体"/>
          <w:sz w:val="24"/>
        </w:rPr>
        <w:t>日历天内</w:t>
      </w:r>
    </w:p>
    <w:p>
      <w:pPr>
        <w:spacing w:before="118" w:line="360" w:lineRule="auto"/>
        <w:ind w:right="536"/>
        <w:rPr>
          <w:rFonts w:ascii="新宋体" w:eastAsia="新宋体"/>
          <w:sz w:val="24"/>
        </w:rPr>
      </w:pPr>
      <w:r>
        <w:rPr>
          <w:rFonts w:hint="eastAsia" w:ascii="新宋体" w:eastAsia="新宋体"/>
          <w:sz w:val="24"/>
        </w:rPr>
        <w:t>2、 交货地点：招标人指定地点</w:t>
      </w:r>
    </w:p>
    <w:p>
      <w:pPr>
        <w:spacing w:before="118" w:line="360" w:lineRule="auto"/>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注：如是进口设备须由中标人自行办理一切相关手续，若因手续问题导致无法交货，</w:t>
      </w:r>
      <w:r>
        <w:rPr>
          <w:rFonts w:hint="eastAsia" w:ascii="新宋体" w:eastAsia="新宋体"/>
          <w:b/>
          <w:sz w:val="24"/>
        </w:rPr>
        <w:t>全部责任由中标人承担。招标人有权进行重新采购。）</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十一</w:t>
      </w:r>
      <w:r>
        <w:rPr>
          <w:rFonts w:hint="eastAsia" w:ascii="新宋体" w:eastAsia="新宋体"/>
          <w:b/>
          <w:sz w:val="24"/>
        </w:rPr>
        <w:tab/>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360" w:lineRule="auto"/>
        <w:ind w:right="536"/>
        <w:rPr>
          <w:rFonts w:ascii="新宋体" w:eastAsia="新宋体"/>
          <w:sz w:val="24"/>
        </w:rPr>
      </w:pPr>
      <w:r>
        <w:rPr>
          <w:rFonts w:hint="eastAsia" w:ascii="新宋体" w:eastAsia="新宋体"/>
          <w:sz w:val="24"/>
        </w:rPr>
        <w:t>1、 支付方式：合同签订后7天内支付合同价款的30%，货物到场</w:t>
      </w:r>
      <w:r>
        <w:rPr>
          <w:rFonts w:hint="eastAsia" w:ascii="新宋体" w:eastAsia="新宋体"/>
          <w:sz w:val="24"/>
          <w:lang w:val="en-US" w:eastAsia="zh-CN"/>
        </w:rPr>
        <w:t>安装前，甲方验收合格后</w:t>
      </w:r>
      <w:r>
        <w:rPr>
          <w:rFonts w:hint="eastAsia" w:ascii="新宋体" w:eastAsia="新宋体"/>
          <w:sz w:val="24"/>
        </w:rPr>
        <w:t>支付至合同价款的60%</w:t>
      </w:r>
      <w:r>
        <w:rPr>
          <w:rFonts w:hint="eastAsia" w:ascii="新宋体" w:eastAsia="新宋体"/>
          <w:sz w:val="24"/>
          <w:lang w:eastAsia="zh-CN"/>
        </w:rPr>
        <w:t>，</w:t>
      </w:r>
      <w:r>
        <w:rPr>
          <w:rFonts w:hint="eastAsia" w:ascii="新宋体" w:eastAsia="新宋体"/>
          <w:sz w:val="24"/>
        </w:rPr>
        <w:t>安装验收合格后支付至合同价款的90%，留10%</w:t>
      </w:r>
      <w:r>
        <w:rPr>
          <w:rFonts w:hint="eastAsia" w:ascii="新宋体" w:eastAsia="新宋体"/>
          <w:sz w:val="24"/>
          <w:lang w:val="en-US" w:eastAsia="zh-CN"/>
        </w:rPr>
        <w:t xml:space="preserve"> </w:t>
      </w:r>
      <w:r>
        <w:rPr>
          <w:rFonts w:hint="eastAsia" w:ascii="新宋体" w:eastAsia="新宋体"/>
          <w:sz w:val="24"/>
        </w:rPr>
        <w:t>的质保金</w:t>
      </w:r>
      <w:r>
        <w:rPr>
          <w:rFonts w:hint="eastAsia" w:ascii="新宋体" w:eastAsia="新宋体"/>
          <w:sz w:val="24"/>
          <w:lang w:eastAsia="zh-CN"/>
        </w:rPr>
        <w:t>，</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r>
        <w:rPr>
          <w:rFonts w:hint="eastAsia" w:ascii="新宋体" w:eastAsia="新宋体"/>
          <w:sz w:val="24"/>
        </w:rPr>
        <w:t>。</w:t>
      </w:r>
    </w:p>
    <w:p>
      <w:pPr>
        <w:spacing w:before="4" w:line="360" w:lineRule="auto"/>
        <w:ind w:right="536"/>
        <w:rPr>
          <w:rFonts w:ascii="新宋体" w:eastAsia="新宋体"/>
          <w:sz w:val="24"/>
        </w:rPr>
      </w:pPr>
      <w:r>
        <w:rPr>
          <w:rFonts w:hint="eastAsia" w:ascii="新宋体" w:eastAsia="新宋体"/>
          <w:sz w:val="24"/>
        </w:rPr>
        <w:t>2、 付款单位：湖南省湘澧盐化有限责任公司</w:t>
      </w:r>
    </w:p>
    <w:p>
      <w:pPr>
        <w:spacing w:line="360" w:lineRule="auto"/>
        <w:ind w:right="536"/>
        <w:rPr>
          <w:rFonts w:ascii="新宋体" w:eastAsia="新宋体"/>
          <w:b/>
          <w:sz w:val="24"/>
        </w:rPr>
      </w:pPr>
      <w:r>
        <w:rPr>
          <w:rFonts w:hint="eastAsia" w:ascii="新宋体" w:eastAsia="新宋体"/>
          <w:b/>
          <w:sz w:val="24"/>
        </w:rPr>
        <w:t>十二 违约责任：</w:t>
      </w:r>
    </w:p>
    <w:p>
      <w:pPr>
        <w:pStyle w:val="23"/>
        <w:numPr>
          <w:ilvl w:val="0"/>
          <w:numId w:val="0"/>
        </w:numPr>
        <w:tabs>
          <w:tab w:val="left" w:pos="0"/>
        </w:tabs>
        <w:spacing w:line="360" w:lineRule="auto"/>
        <w:ind w:leftChars="0" w:right="536" w:rightChars="0"/>
        <w:rPr>
          <w:rFonts w:ascii="新宋体" w:hAnsi="新宋体" w:eastAsia="新宋体"/>
          <w:sz w:val="24"/>
          <w:szCs w:val="24"/>
        </w:rPr>
      </w:pPr>
      <w:r>
        <w:rPr>
          <w:rFonts w:hint="eastAsia" w:ascii="新宋体" w:hAnsi="新宋体" w:eastAsia="新宋体"/>
          <w:sz w:val="24"/>
          <w:szCs w:val="24"/>
          <w:lang w:val="en-US" w:eastAsia="zh-CN"/>
        </w:rPr>
        <w:t>1、</w:t>
      </w: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3"/>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pacing w:val="-1"/>
          <w:sz w:val="24"/>
          <w:szCs w:val="24"/>
          <w:lang w:val="en-US" w:eastAsia="zh-CN"/>
        </w:rPr>
        <w:t>2、</w:t>
      </w: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3"/>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3、</w:t>
      </w: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3"/>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4、</w:t>
      </w: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360" w:lineRule="auto"/>
        <w:ind w:right="536"/>
        <w:rPr>
          <w:rFonts w:ascii="新宋体" w:eastAsia="新宋体"/>
          <w:sz w:val="24"/>
        </w:rPr>
      </w:pPr>
      <w:r>
        <w:rPr>
          <w:rFonts w:hint="eastAsia" w:ascii="新宋体" w:eastAsia="新宋体"/>
          <w:sz w:val="24"/>
        </w:rPr>
        <w:t>标志、包装、说明书、运输、贮存等都应执行国家的有关规定。</w:t>
      </w:r>
    </w:p>
    <w:p>
      <w:pPr>
        <w:spacing w:before="118" w:line="360" w:lineRule="auto"/>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360" w:lineRule="auto"/>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360" w:lineRule="auto"/>
        <w:ind w:right="536"/>
        <w:rPr>
          <w:rFonts w:ascii="新宋体" w:eastAsia="新宋体"/>
          <w:sz w:val="24"/>
        </w:rPr>
      </w:pPr>
      <w:r>
        <w:rPr>
          <w:rFonts w:hint="eastAsia" w:ascii="新宋体" w:eastAsia="新宋体"/>
          <w:sz w:val="24"/>
        </w:rPr>
        <w:t>3、 下列文件属合同的依据和附件：</w:t>
      </w:r>
    </w:p>
    <w:p>
      <w:pPr>
        <w:spacing w:before="58" w:line="360" w:lineRule="auto"/>
        <w:ind w:right="536"/>
        <w:rPr>
          <w:rFonts w:ascii="新宋体" w:eastAsia="新宋体"/>
          <w:sz w:val="24"/>
        </w:rPr>
      </w:pPr>
      <w:r>
        <w:rPr>
          <w:rFonts w:hint="eastAsia" w:ascii="新宋体" w:eastAsia="新宋体"/>
          <w:sz w:val="24"/>
        </w:rPr>
        <w:t>a、文件、补充说明及中标通知书；</w:t>
      </w:r>
    </w:p>
    <w:p>
      <w:pPr>
        <w:spacing w:before="118" w:line="360" w:lineRule="auto"/>
        <w:ind w:right="536"/>
        <w:rPr>
          <w:rFonts w:ascii="新宋体" w:eastAsia="新宋体"/>
          <w:sz w:val="24"/>
        </w:rPr>
      </w:pPr>
      <w:r>
        <w:rPr>
          <w:rFonts w:hint="eastAsia" w:ascii="新宋体" w:eastAsia="新宋体"/>
          <w:sz w:val="24"/>
        </w:rPr>
        <w:t>b、投标书、投标补充说明、服务承诺；</w:t>
      </w:r>
    </w:p>
    <w:p>
      <w:pPr>
        <w:spacing w:before="118" w:line="360" w:lineRule="auto"/>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8"/>
        <w:spacing w:before="6" w:line="360" w:lineRule="auto"/>
        <w:ind w:right="536"/>
        <w:rPr>
          <w:rFonts w:ascii="新宋体"/>
          <w:sz w:val="24"/>
          <w:szCs w:val="24"/>
        </w:rPr>
      </w:pPr>
    </w:p>
    <w:p>
      <w:pPr>
        <w:tabs>
          <w:tab w:val="left" w:pos="1099"/>
          <w:tab w:val="left" w:pos="4179"/>
          <w:tab w:val="left" w:pos="4619"/>
        </w:tabs>
        <w:spacing w:line="480" w:lineRule="exact"/>
        <w:ind w:right="536"/>
        <w:rPr>
          <w:rFonts w:hint="eastAsia" w:ascii="新宋体" w:eastAsia="新宋体"/>
          <w:sz w:val="24"/>
        </w:rPr>
      </w:pPr>
    </w:p>
    <w:p>
      <w:pPr>
        <w:tabs>
          <w:tab w:val="left" w:pos="1099"/>
          <w:tab w:val="left" w:pos="4179"/>
          <w:tab w:val="left" w:pos="4619"/>
        </w:tabs>
        <w:spacing w:line="480" w:lineRule="exact"/>
        <w:ind w:right="536"/>
        <w:rPr>
          <w:rFonts w:hint="eastAsia" w:ascii="新宋体" w:eastAsia="新宋体"/>
          <w:sz w:val="24"/>
        </w:rPr>
      </w:pPr>
    </w:p>
    <w:p>
      <w:pPr>
        <w:tabs>
          <w:tab w:val="left" w:pos="1099"/>
          <w:tab w:val="left" w:pos="4179"/>
          <w:tab w:val="left" w:pos="4619"/>
        </w:tabs>
        <w:spacing w:line="480" w:lineRule="exact"/>
        <w:ind w:right="536"/>
        <w:rPr>
          <w:rFonts w:hint="eastAsia" w:ascii="新宋体" w:eastAsia="新宋体"/>
          <w:sz w:val="24"/>
        </w:rPr>
      </w:pPr>
    </w:p>
    <w:tbl>
      <w:tblPr>
        <w:tblStyle w:val="15"/>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360" w:lineRule="auto"/>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360" w:lineRule="auto"/>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360" w:lineRule="auto"/>
        <w:rPr>
          <w:sz w:val="24"/>
        </w:rPr>
      </w:pPr>
      <w:r>
        <w:rPr>
          <w:rFonts w:hint="eastAsia"/>
          <w:sz w:val="24"/>
        </w:rPr>
        <w:t>三、投标方的资格证明材料；</w:t>
      </w:r>
    </w:p>
    <w:p>
      <w:pPr>
        <w:autoSpaceDE w:val="0"/>
        <w:autoSpaceDN w:val="0"/>
        <w:adjustRightInd w:val="0"/>
        <w:spacing w:line="360" w:lineRule="auto"/>
        <w:ind w:left="1" w:firstLine="424" w:firstLineChars="177"/>
        <w:rPr>
          <w:sz w:val="24"/>
        </w:rPr>
      </w:pPr>
      <w:r>
        <w:rPr>
          <w:rFonts w:hint="eastAsia"/>
          <w:sz w:val="24"/>
        </w:rPr>
        <w:t>①法定代表人身份证明；</w:t>
      </w:r>
    </w:p>
    <w:p>
      <w:pPr>
        <w:autoSpaceDE w:val="0"/>
        <w:autoSpaceDN w:val="0"/>
        <w:adjustRightInd w:val="0"/>
        <w:spacing w:line="360" w:lineRule="auto"/>
        <w:ind w:firstLine="424" w:firstLineChars="177"/>
        <w:rPr>
          <w:sz w:val="24"/>
        </w:rPr>
      </w:pPr>
      <w:r>
        <w:rPr>
          <w:rFonts w:hint="eastAsia"/>
          <w:sz w:val="24"/>
        </w:rPr>
        <w:t>②法定代表人授权书；</w:t>
      </w:r>
    </w:p>
    <w:p>
      <w:pPr>
        <w:autoSpaceDE w:val="0"/>
        <w:autoSpaceDN w:val="0"/>
        <w:adjustRightInd w:val="0"/>
        <w:spacing w:line="360" w:lineRule="auto"/>
        <w:ind w:firstLine="424" w:firstLineChars="177"/>
        <w:rPr>
          <w:sz w:val="24"/>
        </w:rPr>
      </w:pPr>
      <w:r>
        <w:rPr>
          <w:rFonts w:hint="eastAsia"/>
          <w:sz w:val="24"/>
        </w:rPr>
        <w:t>③投标方基本情况表；</w:t>
      </w:r>
    </w:p>
    <w:p>
      <w:pPr>
        <w:autoSpaceDE w:val="0"/>
        <w:autoSpaceDN w:val="0"/>
        <w:adjustRightInd w:val="0"/>
        <w:spacing w:line="360" w:lineRule="auto"/>
        <w:ind w:firstLine="424" w:firstLineChars="177"/>
        <w:rPr>
          <w:sz w:val="24"/>
        </w:rPr>
      </w:pPr>
      <w:r>
        <w:rPr>
          <w:rFonts w:hint="eastAsia"/>
          <w:sz w:val="24"/>
        </w:rPr>
        <w:t>④信用证明材料；</w:t>
      </w:r>
    </w:p>
    <w:p>
      <w:pPr>
        <w:autoSpaceDE w:val="0"/>
        <w:autoSpaceDN w:val="0"/>
        <w:adjustRightInd w:val="0"/>
        <w:spacing w:line="360" w:lineRule="auto"/>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360" w:lineRule="auto"/>
        <w:rPr>
          <w:sz w:val="24"/>
        </w:rPr>
      </w:pPr>
      <w:r>
        <w:rPr>
          <w:rFonts w:hint="eastAsia" w:ascii="宋体" w:hAnsi="宋体"/>
          <w:color w:val="000000"/>
          <w:sz w:val="24"/>
        </w:rPr>
        <w:t>复印件均须加盖投标单位公章。</w:t>
      </w:r>
    </w:p>
    <w:p>
      <w:pPr>
        <w:autoSpaceDE w:val="0"/>
        <w:autoSpaceDN w:val="0"/>
        <w:adjustRightInd w:val="0"/>
        <w:spacing w:line="360" w:lineRule="auto"/>
        <w:rPr>
          <w:sz w:val="24"/>
        </w:rPr>
      </w:pPr>
      <w:r>
        <w:rPr>
          <w:rFonts w:hint="eastAsia"/>
          <w:sz w:val="24"/>
          <w:lang w:val="en-US" w:eastAsia="zh-CN"/>
        </w:rPr>
        <w:t>四</w:t>
      </w:r>
      <w:r>
        <w:rPr>
          <w:rFonts w:hint="eastAsia"/>
          <w:sz w:val="24"/>
        </w:rPr>
        <w:t>、</w:t>
      </w:r>
      <w:r>
        <w:rPr>
          <w:rFonts w:hint="eastAsia"/>
          <w:sz w:val="24"/>
          <w:lang w:val="en-US" w:eastAsia="zh-CN"/>
        </w:rPr>
        <w:t>相关</w:t>
      </w:r>
      <w:r>
        <w:rPr>
          <w:rFonts w:hint="eastAsia"/>
          <w:sz w:val="24"/>
        </w:rPr>
        <w:t>业绩</w:t>
      </w:r>
    </w:p>
    <w:p>
      <w:pPr>
        <w:autoSpaceDE w:val="0"/>
        <w:autoSpaceDN w:val="0"/>
        <w:adjustRightInd w:val="0"/>
        <w:spacing w:line="360" w:lineRule="auto"/>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、服务承诺书</w:t>
      </w:r>
    </w:p>
    <w:p>
      <w:pPr>
        <w:adjustRightInd w:val="0"/>
        <w:snapToGrid w:val="0"/>
        <w:spacing w:line="360" w:lineRule="auto"/>
        <w:rPr>
          <w:sz w:val="24"/>
        </w:rPr>
      </w:pPr>
    </w:p>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hint="eastAsia" w:ascii="Microsoft JhengHei" w:eastAsiaTheme="minorEastAsia"/>
          <w:b/>
          <w:sz w:val="44"/>
          <w:szCs w:val="44"/>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8"/>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w:t>
      </w:r>
      <w:r>
        <w:rPr>
          <w:rFonts w:hint="eastAsia"/>
          <w:sz w:val="24"/>
          <w:lang w:val="en-US" w:eastAsia="zh-CN"/>
        </w:rPr>
        <w:t>1</w:t>
      </w:r>
      <w:r>
        <w:rPr>
          <w:rFonts w:hint="eastAsia"/>
          <w:sz w:val="24"/>
        </w:rPr>
        <w:t>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1</w:t>
      </w:r>
      <w:r>
        <w:rPr>
          <w:rFonts w:hint="eastAsia"/>
          <w:sz w:val="24"/>
        </w:rPr>
        <w:t>）</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2</w:t>
      </w:r>
      <w:r>
        <w:rPr>
          <w:rFonts w:hint="eastAsia"/>
          <w:sz w:val="24"/>
        </w:rPr>
        <w:t>）</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4" w:type="default"/>
          <w:pgSz w:w="11905" w:h="16838"/>
          <w:pgMar w:top="1440" w:right="1640" w:bottom="782" w:left="1700" w:header="0" w:footer="499" w:gutter="0"/>
          <w:pgBorders>
            <w:top w:val="none" w:sz="0" w:space="0"/>
            <w:left w:val="none" w:sz="0" w:space="0"/>
            <w:bottom w:val="none" w:sz="0" w:space="0"/>
            <w:right w:val="none" w:sz="0" w:space="0"/>
          </w:pgBorders>
          <w:cols w:space="0" w:num="1"/>
          <w:rtlGutter w:val="0"/>
          <w:docGrid w:linePitch="0" w:charSpace="0"/>
        </w:sectPr>
      </w:pPr>
    </w:p>
    <w:p>
      <w:pPr>
        <w:spacing w:line="732" w:lineRule="exact"/>
        <w:ind w:right="-31"/>
        <w:jc w:val="center"/>
        <w:rPr>
          <w:rFonts w:hint="eastAsia" w:ascii="黑体" w:hAnsi="黑体" w:eastAsia="黑体" w:cs="黑体"/>
          <w:b/>
          <w:sz w:val="44"/>
          <w:szCs w:val="44"/>
        </w:rPr>
      </w:pPr>
      <w:r>
        <w:rPr>
          <w:rFonts w:hint="eastAsia" w:ascii="黑体" w:hAnsi="黑体" w:eastAsia="黑体" w:cs="黑体"/>
          <w:b/>
          <w:sz w:val="44"/>
          <w:szCs w:val="44"/>
        </w:rPr>
        <w:t>二、投标报价明细</w:t>
      </w:r>
    </w:p>
    <w:p>
      <w:pPr>
        <w:rPr>
          <w:rFonts w:ascii="仿宋_GB2312" w:eastAsia="仿宋_GB2312"/>
          <w:sz w:val="32"/>
          <w:szCs w:val="32"/>
        </w:rPr>
      </w:pPr>
    </w:p>
    <w:p>
      <w:pPr>
        <w:spacing w:line="360" w:lineRule="auto"/>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工</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程</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名</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称：</w:t>
      </w:r>
      <w:r>
        <w:rPr>
          <w:rFonts w:hint="eastAsia"/>
          <w:sz w:val="28"/>
          <w:szCs w:val="28"/>
          <w:lang w:val="en-US" w:eastAsia="zh-CN"/>
        </w:rPr>
        <w:t>生态盐分级分筛建设项目</w:t>
      </w:r>
      <w:r>
        <w:rPr>
          <w:rFonts w:hint="eastAsia"/>
          <w:color w:val="000000"/>
          <w:sz w:val="28"/>
          <w:szCs w:val="28"/>
          <w:lang w:val="en-US" w:eastAsia="zh-CN"/>
        </w:rPr>
        <w:t>新建原盐料仓、平台及附属设施的采购、制作和安装</w:t>
      </w:r>
      <w:r>
        <w:rPr>
          <w:rFonts w:hint="eastAsia"/>
          <w:sz w:val="28"/>
          <w:szCs w:val="28"/>
          <w:lang w:val="en-US" w:eastAsia="zh-CN"/>
        </w:rPr>
        <w:t>。</w:t>
      </w:r>
    </w:p>
    <w:p>
      <w:pPr>
        <w:rPr>
          <w:rFonts w:asciiTheme="minorEastAsia" w:hAnsiTheme="minorEastAsia" w:eastAsiaTheme="minorEastAsia"/>
          <w:sz w:val="28"/>
          <w:szCs w:val="28"/>
        </w:rPr>
      </w:pPr>
    </w:p>
    <w:p>
      <w:pP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建设单位名称：湖南省湘澧盐化有限责任公司</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28"/>
          <w:szCs w:val="28"/>
        </w:rPr>
        <w:t>报价明细</w:t>
      </w:r>
      <w:r>
        <w:rPr>
          <w:rFonts w:hint="eastAsia" w:asciiTheme="minorEastAsia" w:hAnsiTheme="minorEastAsia" w:eastAsiaTheme="minorEastAsia"/>
          <w:sz w:val="30"/>
          <w:szCs w:val="30"/>
        </w:rPr>
        <w:t>：</w:t>
      </w:r>
    </w:p>
    <w:tbl>
      <w:tblPr>
        <w:tblStyle w:val="15"/>
        <w:tblpPr w:leftFromText="180" w:rightFromText="180" w:vertAnchor="text" w:horzAnchor="page" w:tblpX="1549" w:tblpY="99"/>
        <w:tblOverlap w:val="never"/>
        <w:tblW w:w="9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667"/>
        <w:gridCol w:w="2188"/>
        <w:gridCol w:w="914"/>
        <w:gridCol w:w="573"/>
        <w:gridCol w:w="654"/>
        <w:gridCol w:w="1309"/>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trPr>
        <w:tc>
          <w:tcPr>
            <w:tcW w:w="449"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序号</w:t>
            </w:r>
          </w:p>
        </w:tc>
        <w:tc>
          <w:tcPr>
            <w:tcW w:w="1667" w:type="dxa"/>
            <w:vAlign w:val="center"/>
          </w:tcPr>
          <w:p>
            <w:pPr>
              <w:spacing w:before="120" w:beforeLines="50"/>
              <w:jc w:val="center"/>
              <w:rPr>
                <w:rFonts w:hint="eastAsia" w:ascii="宋体" w:hAnsi="宋体" w:eastAsia="宋体" w:cs="Arial"/>
                <w:color w:val="000000"/>
                <w:sz w:val="24"/>
                <w:lang w:eastAsia="zh-CN"/>
              </w:rPr>
            </w:pPr>
            <w:r>
              <w:rPr>
                <w:rFonts w:hint="eastAsia" w:ascii="宋体" w:hAnsi="宋体" w:cs="Arial"/>
                <w:color w:val="000000"/>
                <w:sz w:val="24"/>
                <w:lang w:val="en-US" w:eastAsia="zh-CN"/>
              </w:rPr>
              <w:t>名   称</w:t>
            </w:r>
          </w:p>
        </w:tc>
        <w:tc>
          <w:tcPr>
            <w:tcW w:w="2188"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规格型号</w:t>
            </w:r>
          </w:p>
        </w:tc>
        <w:tc>
          <w:tcPr>
            <w:tcW w:w="914" w:type="dxa"/>
            <w:vAlign w:val="center"/>
          </w:tcPr>
          <w:p>
            <w:pPr>
              <w:spacing w:before="120" w:beforeLines="50"/>
              <w:jc w:val="center"/>
              <w:rPr>
                <w:rFonts w:hint="default" w:ascii="宋体" w:hAnsi="宋体" w:eastAsia="宋体" w:cs="Arial"/>
                <w:color w:val="000000"/>
                <w:sz w:val="24"/>
                <w:lang w:val="en-US" w:eastAsia="zh-CN"/>
              </w:rPr>
            </w:pPr>
            <w:r>
              <w:rPr>
                <w:rFonts w:hint="eastAsia" w:ascii="宋体" w:hAnsi="宋体" w:cs="Arial"/>
                <w:color w:val="000000"/>
                <w:sz w:val="24"/>
                <w:lang w:val="en-US" w:eastAsia="zh-CN"/>
              </w:rPr>
              <w:t>主体材质</w:t>
            </w:r>
          </w:p>
        </w:tc>
        <w:tc>
          <w:tcPr>
            <w:tcW w:w="573" w:type="dxa"/>
            <w:vAlign w:val="center"/>
          </w:tcPr>
          <w:p>
            <w:pPr>
              <w:spacing w:before="120" w:beforeLines="50"/>
              <w:jc w:val="center"/>
              <w:rPr>
                <w:rFonts w:hint="default" w:ascii="宋体" w:hAnsi="宋体" w:eastAsia="宋体" w:cs="Arial"/>
                <w:color w:val="000000"/>
                <w:sz w:val="24"/>
                <w:lang w:val="en-US" w:eastAsia="zh-CN"/>
              </w:rPr>
            </w:pPr>
            <w:r>
              <w:rPr>
                <w:rFonts w:hint="eastAsia" w:ascii="宋体" w:hAnsi="宋体" w:cs="Arial"/>
                <w:color w:val="000000"/>
                <w:sz w:val="24"/>
                <w:lang w:val="en-US" w:eastAsia="zh-CN"/>
              </w:rPr>
              <w:t>单位</w:t>
            </w:r>
          </w:p>
        </w:tc>
        <w:tc>
          <w:tcPr>
            <w:tcW w:w="654" w:type="dxa"/>
            <w:vAlign w:val="center"/>
          </w:tcPr>
          <w:p>
            <w:pPr>
              <w:spacing w:before="120" w:beforeLines="50"/>
              <w:jc w:val="center"/>
              <w:rPr>
                <w:rFonts w:hint="default" w:ascii="宋体" w:hAnsi="宋体" w:cs="Arial"/>
                <w:color w:val="000000"/>
                <w:sz w:val="24"/>
                <w:lang w:val="en-US" w:eastAsia="zh-CN"/>
              </w:rPr>
            </w:pPr>
            <w:r>
              <w:rPr>
                <w:rFonts w:hint="eastAsia" w:ascii="宋体" w:hAnsi="宋体" w:cs="Arial"/>
                <w:color w:val="000000"/>
                <w:sz w:val="24"/>
                <w:lang w:val="en-US" w:eastAsia="zh-CN"/>
              </w:rPr>
              <w:t>数量</w:t>
            </w:r>
          </w:p>
        </w:tc>
        <w:tc>
          <w:tcPr>
            <w:tcW w:w="1309" w:type="dxa"/>
            <w:vAlign w:val="center"/>
          </w:tcPr>
          <w:p>
            <w:pPr>
              <w:spacing w:before="120" w:beforeLines="50"/>
              <w:jc w:val="center"/>
              <w:rPr>
                <w:rFonts w:hint="default" w:ascii="宋体" w:hAnsi="宋体" w:eastAsia="宋体" w:cs="Arial"/>
                <w:color w:val="000000"/>
                <w:sz w:val="24"/>
                <w:lang w:val="en-US" w:eastAsia="zh-CN"/>
              </w:rPr>
            </w:pPr>
            <w:r>
              <w:rPr>
                <w:rFonts w:hint="eastAsia" w:ascii="宋体" w:hAnsi="宋体" w:cs="Arial"/>
                <w:color w:val="000000"/>
                <w:sz w:val="24"/>
                <w:lang w:val="en-US" w:eastAsia="zh-CN"/>
              </w:rPr>
              <w:t>价格（元）</w:t>
            </w:r>
          </w:p>
        </w:tc>
        <w:tc>
          <w:tcPr>
            <w:tcW w:w="1855" w:type="dxa"/>
            <w:vAlign w:val="center"/>
          </w:tcPr>
          <w:p>
            <w:pPr>
              <w:spacing w:before="120" w:beforeLines="50"/>
              <w:jc w:val="center"/>
              <w:rPr>
                <w:rFonts w:hint="default" w:ascii="宋体" w:hAnsi="宋体" w:cs="Arial"/>
                <w:color w:val="000000"/>
                <w:sz w:val="24"/>
                <w:lang w:val="en-US" w:eastAsia="zh-CN"/>
              </w:rPr>
            </w:pPr>
            <w:r>
              <w:rPr>
                <w:rFonts w:hint="eastAsia" w:ascii="宋体" w:hAnsi="宋体" w:cs="Arial"/>
                <w:color w:val="00000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49" w:type="dxa"/>
            <w:vAlign w:val="center"/>
          </w:tcPr>
          <w:p>
            <w:pPr>
              <w:numPr>
                <w:ilvl w:val="0"/>
                <w:numId w:val="0"/>
              </w:numPr>
              <w:spacing w:line="240" w:lineRule="auto"/>
              <w:ind w:left="420" w:leftChars="0" w:hanging="420" w:firstLineChars="0"/>
              <w:jc w:val="center"/>
              <w:rPr>
                <w:rFonts w:ascii="宋体" w:hAnsi="宋体"/>
                <w:color w:val="0000FF"/>
              </w:rPr>
            </w:pPr>
            <w:r>
              <w:rPr>
                <w:rFonts w:hint="eastAsia" w:ascii="宋体" w:hAnsi="宋体" w:cs="宋体"/>
                <w:color w:val="000000"/>
                <w:kern w:val="0"/>
                <w:szCs w:val="21"/>
                <w:lang w:val="en-US" w:eastAsia="zh-CN"/>
              </w:rPr>
              <w:t>1</w:t>
            </w:r>
          </w:p>
        </w:tc>
        <w:tc>
          <w:tcPr>
            <w:tcW w:w="1667" w:type="dxa"/>
            <w:vAlign w:val="center"/>
          </w:tcPr>
          <w:p>
            <w:pPr>
              <w:adjustRightInd w:val="0"/>
              <w:snapToGrid w:val="0"/>
              <w:spacing w:line="240" w:lineRule="auto"/>
              <w:jc w:val="center"/>
              <w:rPr>
                <w:rFonts w:hint="default"/>
                <w:color w:val="0000FF"/>
                <w:sz w:val="21"/>
                <w:szCs w:val="21"/>
                <w:lang w:val="en-US"/>
              </w:rPr>
            </w:pPr>
            <w:r>
              <w:rPr>
                <w:rFonts w:hint="eastAsia"/>
                <w:sz w:val="21"/>
                <w:szCs w:val="21"/>
                <w:lang w:val="en-US" w:eastAsia="zh-CN"/>
              </w:rPr>
              <w:t>原盐料仓</w:t>
            </w:r>
          </w:p>
        </w:tc>
        <w:tc>
          <w:tcPr>
            <w:tcW w:w="2188" w:type="dxa"/>
            <w:vAlign w:val="center"/>
          </w:tcPr>
          <w:p>
            <w:pPr>
              <w:spacing w:before="120" w:beforeLines="50" w:line="240" w:lineRule="auto"/>
              <w:jc w:val="center"/>
              <w:rPr>
                <w:rFonts w:hint="default" w:ascii="宋体" w:hAnsi="宋体" w:eastAsia="新宋体"/>
                <w:color w:val="0000FF"/>
                <w:sz w:val="21"/>
                <w:szCs w:val="21"/>
                <w:lang w:val="en-US" w:eastAsia="zh-CN"/>
              </w:rPr>
            </w:pPr>
            <w:r>
              <w:rPr>
                <w:rFonts w:hint="eastAsia" w:ascii="新宋体" w:hAnsi="新宋体" w:eastAsia="新宋体" w:cs="新宋体"/>
                <w:color w:val="000000"/>
                <w:sz w:val="21"/>
                <w:szCs w:val="21"/>
              </w:rPr>
              <w:t>φ2</w:t>
            </w:r>
            <w:r>
              <w:rPr>
                <w:rFonts w:hint="eastAsia" w:ascii="新宋体" w:hAnsi="新宋体" w:eastAsia="新宋体" w:cs="新宋体"/>
                <w:color w:val="000000"/>
                <w:sz w:val="21"/>
                <w:szCs w:val="21"/>
                <w:lang w:val="en-US" w:eastAsia="zh-CN"/>
              </w:rPr>
              <w:t>5</w:t>
            </w:r>
            <w:r>
              <w:rPr>
                <w:rFonts w:hint="eastAsia" w:ascii="新宋体" w:hAnsi="新宋体" w:eastAsia="新宋体" w:cs="新宋体"/>
                <w:color w:val="000000"/>
                <w:sz w:val="21"/>
                <w:szCs w:val="21"/>
              </w:rPr>
              <w:t>00 H=</w:t>
            </w:r>
            <w:r>
              <w:rPr>
                <w:rFonts w:hint="eastAsia" w:ascii="新宋体" w:hAnsi="新宋体" w:eastAsia="新宋体" w:cs="新宋体"/>
                <w:color w:val="000000"/>
                <w:sz w:val="21"/>
                <w:szCs w:val="21"/>
                <w:lang w:val="en-US" w:eastAsia="zh-CN"/>
              </w:rPr>
              <w:t>7800</w:t>
            </w:r>
          </w:p>
        </w:tc>
        <w:tc>
          <w:tcPr>
            <w:tcW w:w="914" w:type="dxa"/>
            <w:vAlign w:val="center"/>
          </w:tcPr>
          <w:p>
            <w:pPr>
              <w:pStyle w:val="14"/>
              <w:snapToGrid w:val="0"/>
              <w:spacing w:before="120" w:beforeLines="50" w:beforeAutospacing="0" w:after="0" w:afterAutospacing="0" w:line="240" w:lineRule="auto"/>
              <w:jc w:val="center"/>
              <w:rPr>
                <w:rFonts w:hint="eastAsia" w:ascii="宋体" w:hAnsi="宋体" w:eastAsia="宋体" w:cs="宋体"/>
                <w:color w:val="0000FF"/>
                <w:kern w:val="0"/>
                <w:sz w:val="24"/>
                <w:szCs w:val="24"/>
                <w:lang w:val="en-US" w:eastAsia="zh-CN"/>
              </w:rPr>
            </w:pPr>
            <w:r>
              <w:rPr>
                <w:rFonts w:hint="eastAsia" w:ascii="宋体" w:hAnsi="宋体"/>
                <w:color w:val="000000"/>
                <w:sz w:val="21"/>
                <w:szCs w:val="21"/>
                <w:lang w:val="en-US" w:eastAsia="zh-CN"/>
              </w:rPr>
              <w:t>316L</w:t>
            </w:r>
          </w:p>
        </w:tc>
        <w:tc>
          <w:tcPr>
            <w:tcW w:w="573" w:type="dxa"/>
            <w:vAlign w:val="center"/>
          </w:tcPr>
          <w:p>
            <w:pPr>
              <w:pStyle w:val="14"/>
              <w:snapToGrid w:val="0"/>
              <w:spacing w:before="120" w:beforeLines="50" w:beforeAutospacing="0" w:after="0" w:afterAutospacing="0" w:line="240" w:lineRule="auto"/>
              <w:jc w:val="center"/>
              <w:rPr>
                <w:rFonts w:hint="default" w:ascii="宋体" w:hAnsi="宋体" w:eastAsia="宋体"/>
                <w:color w:val="0000FF"/>
                <w:sz w:val="24"/>
                <w:szCs w:val="24"/>
                <w:lang w:val="en-US" w:eastAsia="zh-CN"/>
              </w:rPr>
            </w:pPr>
            <w:r>
              <w:rPr>
                <w:rFonts w:hint="eastAsia" w:ascii="宋体" w:hAnsi="宋体" w:cs="宋体"/>
                <w:color w:val="auto"/>
                <w:kern w:val="0"/>
                <w:sz w:val="21"/>
                <w:szCs w:val="21"/>
                <w:lang w:val="en-US" w:eastAsia="zh-CN"/>
              </w:rPr>
              <w:t>台</w:t>
            </w:r>
          </w:p>
        </w:tc>
        <w:tc>
          <w:tcPr>
            <w:tcW w:w="654" w:type="dxa"/>
            <w:vAlign w:val="center"/>
          </w:tcPr>
          <w:p>
            <w:pPr>
              <w:adjustRightInd w:val="0"/>
              <w:snapToGrid w:val="0"/>
              <w:spacing w:line="24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w:t>
            </w:r>
          </w:p>
        </w:tc>
        <w:tc>
          <w:tcPr>
            <w:tcW w:w="1309" w:type="dxa"/>
            <w:vAlign w:val="bottom"/>
          </w:tcPr>
          <w:p>
            <w:pPr>
              <w:adjustRightInd w:val="0"/>
              <w:snapToGrid w:val="0"/>
              <w:spacing w:line="240" w:lineRule="auto"/>
              <w:jc w:val="center"/>
              <w:rPr>
                <w:rFonts w:ascii="宋体" w:hAnsi="宋体"/>
                <w:color w:val="0000FF"/>
                <w:sz w:val="24"/>
                <w:szCs w:val="24"/>
              </w:rPr>
            </w:pPr>
          </w:p>
        </w:tc>
        <w:tc>
          <w:tcPr>
            <w:tcW w:w="1855" w:type="dxa"/>
            <w:vAlign w:val="bottom"/>
          </w:tcPr>
          <w:p>
            <w:pPr>
              <w:adjustRightInd w:val="0"/>
              <w:snapToGrid w:val="0"/>
              <w:spacing w:line="240" w:lineRule="auto"/>
              <w:jc w:val="center"/>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含称重传感器304</w:t>
            </w:r>
          </w:p>
          <w:p>
            <w:pPr>
              <w:adjustRightInd w:val="0"/>
              <w:snapToGrid w:val="0"/>
              <w:spacing w:line="240" w:lineRule="auto"/>
              <w:jc w:val="center"/>
              <w:rPr>
                <w:rFonts w:ascii="宋体" w:hAnsi="宋体"/>
                <w:color w:val="0000FF"/>
                <w:sz w:val="24"/>
                <w:szCs w:val="24"/>
              </w:rPr>
            </w:pPr>
            <w:r>
              <w:rPr>
                <w:rFonts w:hint="eastAsia" w:ascii="宋体" w:hAnsi="宋体" w:cs="宋体"/>
                <w:color w:val="auto"/>
                <w:kern w:val="0"/>
                <w:szCs w:val="21"/>
                <w:highlight w:val="none"/>
                <w:lang w:val="en-US" w:eastAsia="zh-CN"/>
              </w:rPr>
              <w:t>星型卸料器</w:t>
            </w:r>
            <w:r>
              <w:rPr>
                <w:rFonts w:hint="eastAsia" w:ascii="宋体" w:hAnsi="宋体" w:cs="宋体"/>
                <w:color w:val="auto"/>
                <w:kern w:val="0"/>
                <w:szCs w:val="21"/>
                <w:highlight w:val="none"/>
              </w:rPr>
              <w:t>316L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49" w:type="dxa"/>
            <w:vAlign w:val="bottom"/>
          </w:tcPr>
          <w:p>
            <w:pPr>
              <w:numPr>
                <w:ilvl w:val="0"/>
                <w:numId w:val="0"/>
              </w:numPr>
              <w:spacing w:line="360" w:lineRule="auto"/>
              <w:ind w:left="420" w:leftChars="0" w:hanging="420" w:firstLineChars="0"/>
              <w:jc w:val="center"/>
              <w:rPr>
                <w:rFonts w:ascii="宋体" w:hAnsi="宋体"/>
                <w:color w:val="0000FF"/>
              </w:rPr>
            </w:pPr>
            <w:r>
              <w:rPr>
                <w:rFonts w:hint="eastAsia" w:ascii="宋体" w:hAnsi="宋体" w:cs="宋体"/>
                <w:color w:val="000000"/>
                <w:kern w:val="0"/>
                <w:szCs w:val="21"/>
                <w:lang w:val="en-US" w:eastAsia="zh-CN"/>
              </w:rPr>
              <w:t>2</w:t>
            </w:r>
          </w:p>
        </w:tc>
        <w:tc>
          <w:tcPr>
            <w:tcW w:w="1667" w:type="dxa"/>
            <w:vAlign w:val="center"/>
          </w:tcPr>
          <w:p>
            <w:pPr>
              <w:keepNext w:val="0"/>
              <w:keepLines w:val="0"/>
              <w:widowControl/>
              <w:suppressLineNumbers w:val="0"/>
              <w:jc w:val="center"/>
              <w:textAlignment w:val="center"/>
              <w:rPr>
                <w:rFonts w:hint="default" w:eastAsia="宋体"/>
                <w:color w:val="0000FF"/>
                <w:sz w:val="24"/>
                <w:szCs w:val="24"/>
                <w:lang w:val="en-US" w:eastAsia="zh-CN"/>
              </w:rPr>
            </w:pPr>
            <w:r>
              <w:rPr>
                <w:rFonts w:hint="eastAsia" w:ascii="宋体" w:hAnsi="宋体" w:cs="宋体"/>
                <w:i w:val="0"/>
                <w:iCs w:val="0"/>
                <w:color w:val="000000"/>
                <w:kern w:val="0"/>
                <w:sz w:val="22"/>
                <w:szCs w:val="22"/>
                <w:u w:val="none"/>
                <w:lang w:val="en-US" w:eastAsia="zh-CN" w:bidi="ar"/>
              </w:rPr>
              <w:t>操作平台</w:t>
            </w:r>
          </w:p>
        </w:tc>
        <w:tc>
          <w:tcPr>
            <w:tcW w:w="2188" w:type="dxa"/>
            <w:vAlign w:val="center"/>
          </w:tcPr>
          <w:p>
            <w:pPr>
              <w:keepNext w:val="0"/>
              <w:keepLines w:val="0"/>
              <w:widowControl/>
              <w:suppressLineNumbers w:val="0"/>
              <w:jc w:val="center"/>
              <w:textAlignment w:val="center"/>
              <w:rPr>
                <w:rFonts w:hint="eastAsia" w:ascii="宋体" w:hAnsi="宋体" w:eastAsia="宋体"/>
                <w:color w:val="0000FF"/>
                <w:sz w:val="24"/>
                <w:szCs w:val="24"/>
                <w:lang w:val="en-US" w:eastAsia="zh-CN"/>
              </w:rPr>
            </w:pPr>
          </w:p>
        </w:tc>
        <w:tc>
          <w:tcPr>
            <w:tcW w:w="914" w:type="dxa"/>
            <w:vAlign w:val="top"/>
          </w:tcPr>
          <w:p>
            <w:pPr>
              <w:pStyle w:val="14"/>
              <w:snapToGrid w:val="0"/>
              <w:spacing w:before="120" w:beforeLines="50" w:beforeAutospacing="0" w:after="0" w:afterAutospacing="0"/>
              <w:jc w:val="center"/>
              <w:rPr>
                <w:rFonts w:hint="default" w:ascii="宋体" w:hAnsi="宋体" w:eastAsia="宋体" w:cs="宋体"/>
                <w:color w:val="0000FF"/>
                <w:kern w:val="0"/>
                <w:sz w:val="24"/>
                <w:szCs w:val="24"/>
                <w:lang w:val="en-US" w:eastAsia="zh-CN"/>
              </w:rPr>
            </w:pPr>
            <w:r>
              <w:rPr>
                <w:rFonts w:hint="eastAsia" w:ascii="宋体" w:hAnsi="宋体"/>
                <w:color w:val="000000"/>
                <w:sz w:val="21"/>
                <w:szCs w:val="21"/>
                <w:lang w:val="en-US" w:eastAsia="zh-CN"/>
              </w:rPr>
              <w:t>304</w:t>
            </w:r>
          </w:p>
        </w:tc>
        <w:tc>
          <w:tcPr>
            <w:tcW w:w="573" w:type="dxa"/>
            <w:vAlign w:val="top"/>
          </w:tcPr>
          <w:p>
            <w:pPr>
              <w:pStyle w:val="14"/>
              <w:snapToGrid w:val="0"/>
              <w:spacing w:before="120" w:beforeLines="50" w:beforeAutospacing="0" w:after="0" w:afterAutospacing="0"/>
              <w:jc w:val="center"/>
              <w:rPr>
                <w:rFonts w:hint="default" w:ascii="宋体" w:hAnsi="宋体"/>
                <w:color w:val="0000FF"/>
                <w:sz w:val="24"/>
                <w:szCs w:val="24"/>
                <w:lang w:val="en-US"/>
              </w:rPr>
            </w:pPr>
            <w:r>
              <w:rPr>
                <w:rFonts w:hint="eastAsia" w:ascii="宋体" w:hAnsi="宋体" w:cs="宋体"/>
                <w:color w:val="auto"/>
                <w:kern w:val="0"/>
                <w:sz w:val="21"/>
                <w:szCs w:val="21"/>
                <w:lang w:val="en-US" w:eastAsia="zh-CN"/>
              </w:rPr>
              <w:t>套</w:t>
            </w:r>
          </w:p>
        </w:tc>
        <w:tc>
          <w:tcPr>
            <w:tcW w:w="654" w:type="dxa"/>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w:t>
            </w:r>
          </w:p>
        </w:tc>
        <w:tc>
          <w:tcPr>
            <w:tcW w:w="1309" w:type="dxa"/>
            <w:vAlign w:val="center"/>
          </w:tcPr>
          <w:p>
            <w:pPr>
              <w:keepNext w:val="0"/>
              <w:keepLines w:val="0"/>
              <w:widowControl/>
              <w:suppressLineNumbers w:val="0"/>
              <w:jc w:val="center"/>
              <w:textAlignment w:val="center"/>
              <w:rPr>
                <w:rFonts w:ascii="宋体" w:hAnsi="宋体"/>
                <w:color w:val="0000FF"/>
                <w:sz w:val="24"/>
                <w:szCs w:val="24"/>
              </w:rPr>
            </w:pPr>
          </w:p>
        </w:tc>
        <w:tc>
          <w:tcPr>
            <w:tcW w:w="1855" w:type="dxa"/>
            <w:vAlign w:val="center"/>
          </w:tcPr>
          <w:p>
            <w:pPr>
              <w:keepNext w:val="0"/>
              <w:keepLines w:val="0"/>
              <w:widowControl/>
              <w:suppressLineNumbers w:val="0"/>
              <w:jc w:val="center"/>
              <w:textAlignment w:val="center"/>
              <w:rPr>
                <w:rFonts w:ascii="宋体" w:hAnsi="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49" w:type="dxa"/>
            <w:vAlign w:val="bottom"/>
          </w:tcPr>
          <w:p>
            <w:pPr>
              <w:numPr>
                <w:ilvl w:val="0"/>
                <w:numId w:val="0"/>
              </w:numPr>
              <w:spacing w:line="360" w:lineRule="auto"/>
              <w:ind w:left="420" w:leftChars="0" w:hanging="420" w:firstLineChars="0"/>
              <w:jc w:val="center"/>
              <w:rPr>
                <w:rFonts w:ascii="宋体" w:hAnsi="宋体"/>
                <w:color w:val="0000FF"/>
              </w:rPr>
            </w:pPr>
          </w:p>
        </w:tc>
        <w:tc>
          <w:tcPr>
            <w:tcW w:w="1667" w:type="dxa"/>
            <w:vAlign w:val="center"/>
          </w:tcPr>
          <w:p>
            <w:pPr>
              <w:keepNext w:val="0"/>
              <w:keepLines w:val="0"/>
              <w:widowControl/>
              <w:suppressLineNumbers w:val="0"/>
              <w:jc w:val="center"/>
              <w:textAlignment w:val="center"/>
              <w:rPr>
                <w:rFonts w:hint="default" w:eastAsia="宋体"/>
                <w:color w:val="0000FF"/>
                <w:sz w:val="24"/>
                <w:szCs w:val="24"/>
                <w:lang w:val="en-US" w:eastAsia="zh-CN"/>
              </w:rPr>
            </w:pPr>
          </w:p>
        </w:tc>
        <w:tc>
          <w:tcPr>
            <w:tcW w:w="2188" w:type="dxa"/>
            <w:vAlign w:val="center"/>
          </w:tcPr>
          <w:p>
            <w:pPr>
              <w:keepNext w:val="0"/>
              <w:keepLines w:val="0"/>
              <w:widowControl/>
              <w:suppressLineNumbers w:val="0"/>
              <w:jc w:val="both"/>
              <w:textAlignment w:val="center"/>
              <w:rPr>
                <w:rFonts w:hint="eastAsia" w:ascii="宋体" w:hAnsi="宋体" w:eastAsia="宋体"/>
                <w:color w:val="0000FF"/>
                <w:sz w:val="24"/>
                <w:szCs w:val="24"/>
                <w:lang w:val="en-US" w:eastAsia="zh-CN"/>
              </w:rPr>
            </w:pPr>
          </w:p>
        </w:tc>
        <w:tc>
          <w:tcPr>
            <w:tcW w:w="914" w:type="dxa"/>
            <w:vAlign w:val="top"/>
          </w:tcPr>
          <w:p>
            <w:pPr>
              <w:pStyle w:val="14"/>
              <w:snapToGrid w:val="0"/>
              <w:spacing w:before="120" w:beforeLines="50" w:beforeAutospacing="0" w:after="0" w:afterAutospacing="0"/>
              <w:jc w:val="both"/>
              <w:rPr>
                <w:rFonts w:hint="default" w:ascii="宋体" w:hAnsi="宋体" w:eastAsia="宋体" w:cs="宋体"/>
                <w:color w:val="0000FF"/>
                <w:kern w:val="0"/>
                <w:sz w:val="24"/>
                <w:szCs w:val="24"/>
                <w:lang w:val="en-US" w:eastAsia="zh-CN"/>
              </w:rPr>
            </w:pPr>
          </w:p>
        </w:tc>
        <w:tc>
          <w:tcPr>
            <w:tcW w:w="573" w:type="dxa"/>
            <w:vAlign w:val="top"/>
          </w:tcPr>
          <w:p>
            <w:pPr>
              <w:pStyle w:val="14"/>
              <w:snapToGrid w:val="0"/>
              <w:spacing w:before="120" w:beforeLines="50" w:beforeAutospacing="0" w:after="0" w:afterAutospacing="0"/>
              <w:jc w:val="both"/>
              <w:rPr>
                <w:rFonts w:hint="default" w:ascii="宋体" w:hAnsi="宋体"/>
                <w:color w:val="0000FF"/>
                <w:sz w:val="24"/>
                <w:szCs w:val="24"/>
                <w:lang w:val="en-US"/>
              </w:rPr>
            </w:pPr>
          </w:p>
        </w:tc>
        <w:tc>
          <w:tcPr>
            <w:tcW w:w="654" w:type="dxa"/>
            <w:vAlign w:val="center"/>
          </w:tcPr>
          <w:p>
            <w:pPr>
              <w:keepNext w:val="0"/>
              <w:keepLines w:val="0"/>
              <w:widowControl/>
              <w:suppressLineNumbers w:val="0"/>
              <w:jc w:val="both"/>
              <w:textAlignment w:val="center"/>
              <w:rPr>
                <w:rFonts w:hint="default" w:ascii="宋体" w:hAnsi="宋体" w:cs="宋体"/>
                <w:color w:val="auto"/>
                <w:kern w:val="0"/>
                <w:sz w:val="21"/>
                <w:szCs w:val="21"/>
                <w:lang w:val="en-US" w:eastAsia="zh-CN" w:bidi="ar-SA"/>
              </w:rPr>
            </w:pPr>
          </w:p>
        </w:tc>
        <w:tc>
          <w:tcPr>
            <w:tcW w:w="1309" w:type="dxa"/>
            <w:vAlign w:val="center"/>
          </w:tcPr>
          <w:p>
            <w:pPr>
              <w:keepNext w:val="0"/>
              <w:keepLines w:val="0"/>
              <w:widowControl/>
              <w:suppressLineNumbers w:val="0"/>
              <w:jc w:val="center"/>
              <w:textAlignment w:val="center"/>
              <w:rPr>
                <w:rFonts w:ascii="宋体" w:hAnsi="宋体"/>
                <w:color w:val="0000FF"/>
                <w:sz w:val="24"/>
                <w:szCs w:val="24"/>
              </w:rPr>
            </w:pPr>
          </w:p>
        </w:tc>
        <w:tc>
          <w:tcPr>
            <w:tcW w:w="1855" w:type="dxa"/>
            <w:vAlign w:val="center"/>
          </w:tcPr>
          <w:p>
            <w:pPr>
              <w:keepNext w:val="0"/>
              <w:keepLines w:val="0"/>
              <w:widowControl/>
              <w:suppressLineNumbers w:val="0"/>
              <w:jc w:val="center"/>
              <w:textAlignment w:val="center"/>
              <w:rPr>
                <w:rFonts w:ascii="宋体" w:hAnsi="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49" w:type="dxa"/>
            <w:vAlign w:val="center"/>
          </w:tcPr>
          <w:p>
            <w:pPr>
              <w:pStyle w:val="14"/>
              <w:snapToGrid w:val="0"/>
              <w:spacing w:before="120" w:beforeLines="50" w:beforeAutospacing="0" w:after="0" w:afterAutospacing="0"/>
              <w:jc w:val="center"/>
              <w:rPr>
                <w:rFonts w:ascii="宋体" w:hAnsi="宋体"/>
                <w:color w:val="0000FF"/>
              </w:rPr>
            </w:pPr>
          </w:p>
        </w:tc>
        <w:tc>
          <w:tcPr>
            <w:tcW w:w="1667" w:type="dxa"/>
            <w:vAlign w:val="center"/>
          </w:tcPr>
          <w:p>
            <w:pPr>
              <w:widowControl/>
              <w:spacing w:before="120" w:beforeLines="50"/>
              <w:jc w:val="center"/>
              <w:rPr>
                <w:rFonts w:hint="default" w:ascii="宋体" w:hAnsi="宋体" w:eastAsia="宋体" w:cs="宋体"/>
                <w:color w:val="0000FF"/>
                <w:kern w:val="0"/>
                <w:sz w:val="24"/>
                <w:lang w:val="en-US" w:eastAsia="zh-CN"/>
              </w:rPr>
            </w:pPr>
            <w:r>
              <w:rPr>
                <w:rFonts w:hint="eastAsia" w:ascii="宋体" w:hAnsi="宋体" w:cs="宋体"/>
                <w:color w:val="auto"/>
                <w:kern w:val="0"/>
                <w:sz w:val="24"/>
                <w:lang w:val="en-US" w:eastAsia="zh-CN"/>
              </w:rPr>
              <w:t>总</w:t>
            </w:r>
            <w:r>
              <w:rPr>
                <w:rFonts w:hint="eastAsia" w:ascii="宋体" w:hAnsi="宋体" w:cs="宋体"/>
                <w:color w:val="auto"/>
                <w:kern w:val="0"/>
                <w:sz w:val="24"/>
              </w:rPr>
              <w:t>计</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元）</w:t>
            </w:r>
          </w:p>
        </w:tc>
        <w:tc>
          <w:tcPr>
            <w:tcW w:w="7493" w:type="dxa"/>
            <w:gridSpan w:val="6"/>
            <w:vAlign w:val="center"/>
          </w:tcPr>
          <w:p/>
        </w:tc>
      </w:tr>
    </w:tbl>
    <w:p>
      <w:pPr>
        <w:rPr>
          <w:rFonts w:ascii="仿宋_GB2312" w:eastAsia="仿宋_GB2312"/>
          <w:color w:val="auto"/>
          <w:sz w:val="32"/>
          <w:szCs w:val="32"/>
        </w:rPr>
      </w:pPr>
      <w:r>
        <w:rPr>
          <w:rFonts w:hint="eastAsia" w:ascii="新宋体" w:eastAsia="新宋体"/>
          <w:b/>
          <w:color w:val="auto"/>
          <w:w w:val="95"/>
          <w:sz w:val="24"/>
        </w:rPr>
        <w:t>说明：此费用包括</w:t>
      </w:r>
      <w:r>
        <w:rPr>
          <w:rFonts w:hint="eastAsia" w:ascii="新宋体" w:eastAsia="新宋体"/>
          <w:b/>
          <w:color w:val="auto"/>
          <w:w w:val="95"/>
          <w:sz w:val="24"/>
          <w:lang w:val="en-US" w:eastAsia="zh-CN"/>
        </w:rPr>
        <w:t>采购、制作、运输、</w:t>
      </w:r>
      <w:r>
        <w:rPr>
          <w:rFonts w:hint="eastAsia" w:ascii="新宋体" w:eastAsia="新宋体"/>
          <w:b/>
          <w:color w:val="auto"/>
          <w:w w:val="95"/>
          <w:sz w:val="24"/>
        </w:rPr>
        <w:t>安装</w:t>
      </w:r>
      <w:r>
        <w:rPr>
          <w:rFonts w:hint="eastAsia" w:ascii="新宋体" w:eastAsia="新宋体"/>
          <w:b/>
          <w:color w:val="auto"/>
          <w:w w:val="95"/>
          <w:sz w:val="24"/>
          <w:lang w:eastAsia="zh-CN"/>
        </w:rPr>
        <w:t>、</w:t>
      </w:r>
      <w:r>
        <w:rPr>
          <w:rFonts w:hint="eastAsia" w:ascii="新宋体" w:eastAsia="新宋体"/>
          <w:b/>
          <w:color w:val="auto"/>
          <w:w w:val="95"/>
          <w:sz w:val="24"/>
        </w:rPr>
        <w:t>调试</w:t>
      </w:r>
      <w:r>
        <w:rPr>
          <w:rFonts w:hint="eastAsia" w:ascii="新宋体" w:eastAsia="新宋体"/>
          <w:b/>
          <w:color w:val="auto"/>
          <w:w w:val="95"/>
          <w:sz w:val="24"/>
          <w:lang w:eastAsia="zh-CN"/>
        </w:rPr>
        <w:t>、</w:t>
      </w:r>
      <w:r>
        <w:rPr>
          <w:rFonts w:hint="eastAsia" w:ascii="新宋体" w:eastAsia="新宋体"/>
          <w:b/>
          <w:color w:val="auto"/>
          <w:w w:val="95"/>
          <w:sz w:val="24"/>
        </w:rPr>
        <w:t>验收</w:t>
      </w:r>
      <w:r>
        <w:rPr>
          <w:rFonts w:hint="eastAsia" w:ascii="新宋体" w:eastAsia="新宋体"/>
          <w:b/>
          <w:color w:val="auto"/>
          <w:w w:val="95"/>
          <w:sz w:val="24"/>
          <w:lang w:val="en-US" w:eastAsia="zh-CN"/>
        </w:rPr>
        <w:t>和培训</w:t>
      </w:r>
      <w:r>
        <w:rPr>
          <w:rFonts w:hint="eastAsia" w:ascii="新宋体" w:eastAsia="新宋体"/>
          <w:b/>
          <w:color w:val="auto"/>
          <w:w w:val="95"/>
          <w:sz w:val="24"/>
        </w:rPr>
        <w:t>等所有费用</w:t>
      </w:r>
      <w:r>
        <w:rPr>
          <w:rFonts w:hint="eastAsia" w:ascii="新宋体" w:eastAsia="新宋体"/>
          <w:b/>
          <w:color w:val="auto"/>
          <w:spacing w:val="-19"/>
          <w:w w:val="95"/>
          <w:sz w:val="24"/>
        </w:rPr>
        <w:t>。</w:t>
      </w:r>
    </w:p>
    <w:p>
      <w:pPr>
        <w:spacing w:line="560" w:lineRule="exact"/>
        <w:rPr>
          <w:rFonts w:hint="eastAsia" w:ascii="仿宋_GB2312" w:eastAsia="仿宋_GB2312"/>
          <w:b/>
          <w:sz w:val="32"/>
          <w:szCs w:val="32"/>
        </w:rPr>
      </w:pPr>
    </w:p>
    <w:p>
      <w:pPr>
        <w:spacing w:line="240" w:lineRule="auto"/>
        <w:rPr>
          <w:rFonts w:hint="eastAsia" w:ascii="宋体" w:hAnsi="宋体" w:eastAsia="宋体" w:cs="宋体"/>
          <w:b/>
          <w:sz w:val="28"/>
          <w:szCs w:val="28"/>
        </w:rPr>
      </w:pPr>
    </w:p>
    <w:p>
      <w:pPr>
        <w:spacing w:line="240" w:lineRule="auto"/>
        <w:rPr>
          <w:rFonts w:hint="eastAsia" w:ascii="宋体" w:hAnsi="宋体" w:eastAsia="宋体" w:cs="宋体"/>
          <w:sz w:val="28"/>
          <w:szCs w:val="28"/>
        </w:rPr>
      </w:pPr>
      <w:r>
        <w:rPr>
          <w:rFonts w:hint="eastAsia" w:ascii="宋体" w:hAnsi="宋体" w:eastAsia="宋体" w:cs="宋体"/>
          <w:b/>
          <w:sz w:val="28"/>
          <w:szCs w:val="28"/>
        </w:rPr>
        <w:t>合计总金额</w:t>
      </w:r>
      <w:r>
        <w:rPr>
          <w:rFonts w:hint="eastAsia" w:ascii="宋体" w:hAnsi="宋体" w:eastAsia="宋体" w:cs="宋体"/>
          <w:sz w:val="28"/>
          <w:szCs w:val="28"/>
        </w:rPr>
        <w:t>：人民币大写：</w:t>
      </w:r>
      <w:r>
        <w:rPr>
          <w:rFonts w:hint="eastAsia" w:ascii="宋体" w:hAnsi="宋体" w:eastAsia="宋体" w:cs="宋体"/>
          <w:sz w:val="28"/>
          <w:szCs w:val="28"/>
          <w:u w:val="single"/>
        </w:rPr>
        <w:t xml:space="preserve">                    </w:t>
      </w:r>
      <w:r>
        <w:rPr>
          <w:rFonts w:hint="eastAsia" w:ascii="宋体" w:hAnsi="宋体" w:eastAsia="宋体" w:cs="宋体"/>
          <w:sz w:val="28"/>
          <w:szCs w:val="28"/>
        </w:rPr>
        <w:t>元。（含增值税税率13%）</w:t>
      </w:r>
    </w:p>
    <w:p>
      <w:pPr>
        <w:spacing w:line="240" w:lineRule="auto"/>
        <w:ind w:firstLine="4760" w:firstLineChars="1700"/>
        <w:rPr>
          <w:rFonts w:hint="eastAsia" w:ascii="宋体" w:hAnsi="Arial" w:cs="Arial"/>
          <w:sz w:val="28"/>
          <w:szCs w:val="28"/>
        </w:rPr>
      </w:pPr>
    </w:p>
    <w:p>
      <w:pPr>
        <w:spacing w:line="360" w:lineRule="auto"/>
        <w:ind w:firstLine="4760" w:firstLineChars="1700"/>
        <w:rPr>
          <w:rFonts w:hint="eastAsia" w:ascii="宋体" w:hAnsi="Arial" w:cs="Arial"/>
          <w:sz w:val="28"/>
          <w:szCs w:val="28"/>
        </w:rPr>
      </w:pPr>
    </w:p>
    <w:p>
      <w:pPr>
        <w:spacing w:line="360" w:lineRule="auto"/>
        <w:ind w:firstLine="4760" w:firstLineChars="1700"/>
        <w:rPr>
          <w:rFonts w:hint="eastAsia" w:ascii="宋体" w:hAnsi="Arial" w:cs="Arial"/>
          <w:sz w:val="28"/>
          <w:szCs w:val="28"/>
        </w:rPr>
      </w:pPr>
    </w:p>
    <w:p>
      <w:pPr>
        <w:spacing w:line="360" w:lineRule="auto"/>
        <w:ind w:firstLine="4760" w:firstLineChars="1700"/>
        <w:rPr>
          <w:rFonts w:hint="eastAsia" w:ascii="宋体" w:hAnsi="Arial" w:eastAsia="宋体" w:cs="Arial"/>
          <w:sz w:val="28"/>
          <w:szCs w:val="28"/>
          <w:lang w:eastAsia="zh-CN"/>
        </w:rPr>
      </w:pPr>
      <w:r>
        <w:rPr>
          <w:rFonts w:hint="eastAsia" w:ascii="宋体" w:hAnsi="Arial" w:cs="Arial"/>
          <w:sz w:val="28"/>
          <w:szCs w:val="28"/>
        </w:rPr>
        <w:t>投标单位盖章</w:t>
      </w:r>
      <w:r>
        <w:rPr>
          <w:rFonts w:hint="eastAsia" w:ascii="宋体" w:hAnsi="Arial" w:cs="Arial"/>
          <w:sz w:val="28"/>
          <w:szCs w:val="28"/>
          <w:lang w:eastAsia="zh-CN"/>
        </w:rPr>
        <w:t>：</w:t>
      </w:r>
    </w:p>
    <w:p>
      <w:pPr>
        <w:spacing w:line="360" w:lineRule="auto"/>
        <w:ind w:right="480" w:firstLine="4760" w:firstLineChars="1700"/>
        <w:rPr>
          <w:rFonts w:ascii="宋体" w:hAnsi="Arial" w:cs="Arial"/>
          <w:sz w:val="28"/>
          <w:szCs w:val="28"/>
        </w:rPr>
      </w:pPr>
      <w:r>
        <w:rPr>
          <w:rFonts w:hint="eastAsia" w:ascii="宋体" w:hAnsi="Arial" w:cs="Arial"/>
          <w:sz w:val="28"/>
          <w:szCs w:val="28"/>
        </w:rPr>
        <w:t>投标人代表签字：</w:t>
      </w:r>
    </w:p>
    <w:p>
      <w:pPr>
        <w:spacing w:line="360" w:lineRule="auto"/>
        <w:ind w:firstLine="5320" w:firstLineChars="1900"/>
        <w:rPr>
          <w:rFonts w:hint="eastAsia" w:ascii="Microsoft JhengHei" w:eastAsiaTheme="minorEastAsia"/>
          <w:b/>
          <w:sz w:val="44"/>
          <w:szCs w:val="44"/>
        </w:rPr>
      </w:pPr>
      <w:r>
        <w:rPr>
          <w:rFonts w:hint="eastAsia" w:ascii="宋体" w:hAnsi="Arial" w:cs="Arial"/>
          <w:sz w:val="28"/>
          <w:szCs w:val="28"/>
        </w:rPr>
        <w:t>年   月   日</w:t>
      </w:r>
    </w:p>
    <w:p>
      <w:pPr>
        <w:spacing w:line="522" w:lineRule="exact"/>
        <w:jc w:val="center"/>
        <w:rPr>
          <w:rFonts w:hint="eastAsia" w:ascii="黑体" w:hAnsi="黑体" w:eastAsia="黑体" w:cs="黑体"/>
          <w:b/>
          <w:sz w:val="44"/>
          <w:szCs w:val="44"/>
        </w:rPr>
      </w:pPr>
    </w:p>
    <w:p>
      <w:pPr>
        <w:spacing w:line="522" w:lineRule="exact"/>
        <w:jc w:val="both"/>
        <w:rPr>
          <w:rFonts w:hint="eastAsia" w:ascii="黑体" w:hAnsi="黑体" w:eastAsia="黑体" w:cs="黑体"/>
          <w:b/>
          <w:sz w:val="44"/>
          <w:szCs w:val="44"/>
        </w:rPr>
      </w:pPr>
    </w:p>
    <w:p>
      <w:pPr>
        <w:spacing w:line="522" w:lineRule="exact"/>
        <w:jc w:val="center"/>
        <w:rPr>
          <w:rFonts w:hint="eastAsia" w:ascii="黑体" w:hAnsi="黑体" w:eastAsia="黑体" w:cs="黑体"/>
          <w:b/>
          <w:sz w:val="44"/>
          <w:szCs w:val="44"/>
        </w:rPr>
      </w:pPr>
    </w:p>
    <w:p>
      <w:pPr>
        <w:spacing w:line="522" w:lineRule="exact"/>
        <w:jc w:val="center"/>
        <w:rPr>
          <w:rFonts w:hint="eastAsia" w:ascii="黑体" w:hAnsi="黑体" w:eastAsia="黑体" w:cs="黑体"/>
          <w:b/>
          <w:sz w:val="44"/>
          <w:szCs w:val="44"/>
        </w:rPr>
      </w:pPr>
      <w:r>
        <w:rPr>
          <w:rFonts w:hint="eastAsia" w:ascii="黑体" w:hAnsi="黑体" w:eastAsia="黑体" w:cs="黑体"/>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8"/>
        <w:tabs>
          <w:tab w:val="left" w:pos="2880"/>
        </w:tabs>
        <w:rPr>
          <w:rFonts w:ascii="Microsoft JhengHei"/>
          <w:b/>
          <w:sz w:val="20"/>
        </w:rPr>
      </w:pPr>
      <w:r>
        <w:rPr>
          <w:rFonts w:ascii="Microsoft JhengHei"/>
          <w:b/>
          <w:sz w:val="20"/>
        </w:rPr>
        <w:tab/>
      </w:r>
    </w:p>
    <w:p>
      <w:pPr>
        <w:pStyle w:val="8"/>
        <w:spacing w:before="17"/>
        <w:rPr>
          <w:rFonts w:ascii="Microsoft JhengHei"/>
          <w:b/>
          <w:sz w:val="18"/>
        </w:rPr>
      </w:pPr>
    </w:p>
    <w:p>
      <w:pPr>
        <w:pStyle w:val="8"/>
        <w:spacing w:before="70" w:line="470" w:lineRule="auto"/>
        <w:ind w:right="-2"/>
        <w:rPr>
          <w:u w:val="single"/>
        </w:rPr>
      </w:pPr>
      <w:r>
        <w:t>投标人名称：</w:t>
      </w:r>
      <w:r>
        <w:rPr>
          <w:rFonts w:hint="eastAsia"/>
          <w:u w:val="single"/>
        </w:rPr>
        <w:t xml:space="preserve">                                   </w:t>
      </w:r>
    </w:p>
    <w:p>
      <w:pPr>
        <w:pStyle w:val="8"/>
        <w:spacing w:before="70" w:line="470" w:lineRule="auto"/>
        <w:ind w:right="-2"/>
        <w:rPr>
          <w:u w:val="single"/>
        </w:rPr>
      </w:pPr>
      <w:r>
        <w:t>注册号：</w:t>
      </w:r>
      <w:r>
        <w:rPr>
          <w:rFonts w:hint="eastAsia"/>
          <w:u w:val="single"/>
        </w:rPr>
        <w:t xml:space="preserve">                                       </w:t>
      </w:r>
    </w:p>
    <w:p>
      <w:pPr>
        <w:pStyle w:val="8"/>
        <w:spacing w:before="3"/>
        <w:rPr>
          <w:u w:val="single"/>
        </w:rPr>
      </w:pPr>
      <w:r>
        <w:t>注册地址：</w:t>
      </w:r>
      <w:r>
        <w:rPr>
          <w:rFonts w:hint="eastAsia"/>
        </w:rPr>
        <w:t xml:space="preserve"> </w:t>
      </w:r>
      <w:r>
        <w:rPr>
          <w:rFonts w:hint="eastAsia"/>
          <w:u w:val="single"/>
        </w:rPr>
        <w:t xml:space="preserve">                                    </w:t>
      </w:r>
    </w:p>
    <w:p>
      <w:pPr>
        <w:pStyle w:val="8"/>
        <w:spacing w:before="3"/>
        <w:rPr>
          <w:sz w:val="20"/>
        </w:rPr>
      </w:pPr>
    </w:p>
    <w:p>
      <w:pPr>
        <w:pStyle w:val="8"/>
        <w:spacing w:line="470" w:lineRule="auto"/>
        <w:ind w:left="204" w:right="-2" w:hanging="204" w:hangingChars="100"/>
        <w:rPr>
          <w:spacing w:val="-3"/>
          <w:u w:val="single"/>
        </w:rPr>
      </w:pPr>
      <w:r>
        <w:rPr>
          <w:spacing w:val="-3"/>
        </w:rPr>
        <w:t>成立时间：</w:t>
      </w:r>
      <w:r>
        <w:rPr>
          <w:rFonts w:hint="eastAsia"/>
          <w:spacing w:val="-3"/>
          <w:u w:val="single"/>
        </w:rPr>
        <w:t xml:space="preserve">                                        </w:t>
      </w:r>
    </w:p>
    <w:p>
      <w:pPr>
        <w:pStyle w:val="8"/>
        <w:spacing w:line="470" w:lineRule="auto"/>
        <w:ind w:left="210" w:right="-2" w:hanging="210" w:hangingChars="100"/>
        <w:rPr>
          <w:u w:val="single"/>
        </w:rPr>
      </w:pPr>
      <w:r>
        <w:t>经营期限：</w:t>
      </w:r>
      <w:r>
        <w:rPr>
          <w:rFonts w:hint="eastAsia"/>
          <w:u w:val="single"/>
        </w:rPr>
        <w:t xml:space="preserve">                                     </w:t>
      </w:r>
    </w:p>
    <w:p>
      <w:pPr>
        <w:pStyle w:val="8"/>
        <w:spacing w:before="2"/>
        <w:rPr>
          <w:u w:val="single"/>
        </w:rPr>
      </w:pPr>
      <w:r>
        <w:t>经营范围：</w:t>
      </w:r>
      <w:r>
        <w:rPr>
          <w:rFonts w:hint="eastAsia"/>
          <w:u w:val="single"/>
        </w:rPr>
        <w:t xml:space="preserve">                                    </w:t>
      </w:r>
    </w:p>
    <w:p>
      <w:pPr>
        <w:pStyle w:val="8"/>
        <w:spacing w:before="3"/>
        <w:rPr>
          <w:sz w:val="20"/>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姓名：性别：年龄：职务：系（投标人名称）的法定代表人。特此证明。</w:t>
      </w:r>
    </w:p>
    <w:tbl>
      <w:tblPr>
        <w:tblStyle w:val="16"/>
        <w:tblpPr w:leftFromText="180" w:rightFromText="180" w:vertAnchor="text" w:horzAnchor="page" w:tblpX="1546" w:tblpY="90"/>
        <w:tblOverlap w:val="never"/>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4"/>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4" w:type="dxa"/>
          </w:tcPr>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tc>
        <w:tc>
          <w:tcPr>
            <w:tcW w:w="4288" w:type="dxa"/>
          </w:tcPr>
          <w:p>
            <w:pPr>
              <w:adjustRightInd w:val="0"/>
              <w:snapToGrid w:val="0"/>
              <w:spacing w:line="360" w:lineRule="auto"/>
              <w:ind w:right="420"/>
              <w:rPr>
                <w:rFonts w:ascii="宋体" w:hAnsi="宋体"/>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ascii="宋体" w:hAnsi="Arial" w:cs="Arial"/>
          <w:sz w:val="28"/>
          <w:szCs w:val="28"/>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ascii="宋体" w:hAnsi="Arial" w:cs="Arial"/>
          <w:sz w:val="28"/>
          <w:szCs w:val="28"/>
        </w:rPr>
      </w:pPr>
    </w:p>
    <w:p>
      <w:pPr>
        <w:spacing w:line="600" w:lineRule="exact"/>
        <w:rPr>
          <w:rFonts w:ascii="宋体" w:hAnsi="Arial" w:cs="Arial"/>
          <w:sz w:val="28"/>
          <w:szCs w:val="28"/>
        </w:rPr>
      </w:pPr>
    </w:p>
    <w:p>
      <w:pPr>
        <w:spacing w:line="600" w:lineRule="exact"/>
        <w:rPr>
          <w:rFonts w:hint="eastAsia" w:ascii="宋体" w:hAnsi="Arial" w:cs="Arial"/>
          <w:sz w:val="28"/>
          <w:szCs w:val="28"/>
        </w:rPr>
      </w:pPr>
    </w:p>
    <w:p>
      <w:pPr>
        <w:spacing w:line="600" w:lineRule="exact"/>
        <w:rPr>
          <w:rFonts w:hint="eastAsia"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hint="eastAsia" w:ascii="黑体" w:hAnsi="黑体" w:eastAsia="黑体" w:cs="黑体"/>
          <w:sz w:val="44"/>
          <w:szCs w:val="44"/>
        </w:rPr>
      </w:pPr>
      <w:r>
        <w:rPr>
          <w:rFonts w:hint="eastAsia" w:ascii="黑体" w:hAnsi="黑体" w:eastAsia="黑体" w:cs="黑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w:t>
      </w:r>
      <w:r>
        <w:rPr>
          <w:rFonts w:hint="eastAsia" w:ascii="宋体" w:hAnsi="宋体" w:cs="Arial"/>
          <w:sz w:val="24"/>
          <w:lang w:val="en-US" w:eastAsia="zh-CN"/>
        </w:rPr>
        <w:t>23</w:t>
      </w:r>
      <w:r>
        <w:rPr>
          <w:rFonts w:hint="eastAsia" w:ascii="宋体" w:hAnsi="宋体" w:cs="Arial"/>
          <w:sz w:val="24"/>
        </w:rPr>
        <w:t>年</w:t>
      </w:r>
      <w:r>
        <w:rPr>
          <w:rFonts w:hint="eastAsia" w:ascii="宋体" w:hAnsi="宋体" w:cs="Arial"/>
          <w:sz w:val="24"/>
          <w:lang w:val="en-US" w:eastAsia="zh-CN"/>
        </w:rPr>
        <w:t>8</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日起至20</w:t>
      </w:r>
      <w:r>
        <w:rPr>
          <w:rFonts w:hint="eastAsia" w:ascii="宋体" w:hAnsi="宋体" w:cs="Arial"/>
          <w:sz w:val="24"/>
          <w:lang w:val="en-US" w:eastAsia="zh-CN"/>
        </w:rPr>
        <w:t>23</w:t>
      </w:r>
      <w:r>
        <w:rPr>
          <w:rFonts w:hint="eastAsia" w:ascii="宋体" w:hAnsi="宋体" w:cs="Arial"/>
          <w:sz w:val="24"/>
        </w:rPr>
        <w:t>年</w:t>
      </w:r>
      <w:r>
        <w:rPr>
          <w:rFonts w:hint="eastAsia" w:ascii="宋体" w:hAnsi="宋体" w:cs="Arial"/>
          <w:sz w:val="24"/>
          <w:lang w:val="en-US" w:eastAsia="zh-CN"/>
        </w:rPr>
        <w:t>8</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6"/>
        <w:tblW w:w="8772"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6"/>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tcPr>
          <w:p>
            <w:pPr>
              <w:spacing w:line="560" w:lineRule="exact"/>
              <w:rPr>
                <w:rFonts w:ascii="宋体" w:cs="Arial"/>
                <w:sz w:val="24"/>
              </w:rPr>
            </w:pPr>
          </w:p>
          <w:p>
            <w:pPr>
              <w:spacing w:line="560" w:lineRule="exact"/>
              <w:rPr>
                <w:rFonts w:ascii="宋体" w:cs="Arial"/>
                <w:sz w:val="24"/>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spacing w:line="560" w:lineRule="exact"/>
              <w:rPr>
                <w:rFonts w:ascii="宋体" w:cs="Arial"/>
                <w:sz w:val="24"/>
              </w:rPr>
            </w:pPr>
          </w:p>
          <w:p>
            <w:pPr>
              <w:spacing w:line="560" w:lineRule="exact"/>
              <w:rPr>
                <w:rFonts w:ascii="宋体" w:cs="Arial"/>
                <w:sz w:val="24"/>
              </w:rPr>
            </w:pPr>
          </w:p>
        </w:tc>
        <w:tc>
          <w:tcPr>
            <w:tcW w:w="4476" w:type="dxa"/>
          </w:tcPr>
          <w:p>
            <w:pPr>
              <w:spacing w:line="560" w:lineRule="exact"/>
              <w:rPr>
                <w:rFonts w:ascii="宋体" w:cs="Arial"/>
                <w:sz w:val="24"/>
              </w:rPr>
            </w:pPr>
          </w:p>
        </w:tc>
      </w:tr>
    </w:tbl>
    <w:p>
      <w:pPr>
        <w:spacing w:line="560" w:lineRule="exact"/>
        <w:rPr>
          <w:rFonts w:ascii="宋体" w:cs="Arial"/>
          <w:sz w:val="24"/>
        </w:rPr>
      </w:pPr>
    </w:p>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int="eastAsia" w:ascii="黑体" w:hAnsi="黑体" w:eastAsia="黑体" w:cs="黑体"/>
          <w:b/>
          <w:sz w:val="44"/>
          <w:szCs w:val="44"/>
        </w:rPr>
      </w:pPr>
      <w:r>
        <w:rPr>
          <w:rFonts w:hint="eastAsia" w:ascii="黑体" w:hAnsi="黑体" w:eastAsia="黑体" w:cs="黑体"/>
          <w:b/>
          <w:sz w:val="44"/>
          <w:szCs w:val="44"/>
        </w:rPr>
        <w:t>投标人基本情况表</w:t>
      </w:r>
    </w:p>
    <w:tbl>
      <w:tblPr>
        <w:tblStyle w:val="15"/>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44"/>
          <w:szCs w:val="44"/>
        </w:rPr>
      </w:pPr>
      <w:r>
        <w:rPr>
          <w:rFonts w:hint="eastAsia" w:ascii="Microsoft JhengHei" w:eastAsiaTheme="minorEastAsia"/>
          <w:b/>
          <w:sz w:val="44"/>
          <w:szCs w:val="44"/>
        </w:rPr>
        <w:t>单位信用证明</w:t>
      </w:r>
    </w:p>
    <w:p>
      <w:pPr>
        <w:pStyle w:val="8"/>
      </w:pPr>
    </w:p>
    <w:p>
      <w:pPr>
        <w:pStyle w:val="8"/>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8"/>
        <w:spacing w:line="400" w:lineRule="exact"/>
      </w:pPr>
      <w:r>
        <w:rPr>
          <w:rFonts w:hint="eastAsia"/>
        </w:rPr>
        <w:t>1承诺书并加盖公章；</w:t>
      </w:r>
    </w:p>
    <w:p>
      <w:pPr>
        <w:pStyle w:val="8"/>
        <w:spacing w:line="400" w:lineRule="exact"/>
      </w:pPr>
      <w:r>
        <w:rPr>
          <w:rFonts w:hint="eastAsia"/>
        </w:rPr>
        <w:t>2.信用中国网站</w:t>
      </w:r>
      <w:r>
        <w:fldChar w:fldCharType="begin"/>
      </w:r>
      <w:r>
        <w:instrText xml:space="preserve"> HYPERLINK "https://www.creditchina.gov.cn/" </w:instrText>
      </w:r>
      <w:r>
        <w:fldChar w:fldCharType="separate"/>
      </w:r>
      <w:r>
        <w:rPr>
          <w:rStyle w:val="19"/>
        </w:rPr>
        <w:t>https://www.creditchina.gov.cn/</w:t>
      </w:r>
      <w:r>
        <w:rPr>
          <w:rStyle w:val="19"/>
        </w:rPr>
        <w:fldChar w:fldCharType="end"/>
      </w:r>
      <w:r>
        <w:rPr>
          <w:rFonts w:hint="eastAsia"/>
        </w:rPr>
        <w:t>内本单位信用信息内的失信被执行人、重大税收违法案件当事人名单的查询截图。示意如下：</w:t>
      </w:r>
    </w:p>
    <w:p>
      <w:pPr>
        <w:pStyle w:val="8"/>
      </w:pPr>
    </w:p>
    <w:p>
      <w:pPr>
        <w:pStyle w:val="8"/>
      </w:pPr>
    </w:p>
    <w:p>
      <w:pPr>
        <w:pStyle w:val="8"/>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center"/>
        <w:rPr>
          <w:rFonts w:hint="eastAsia" w:ascii="黑体" w:hAnsi="黑体" w:eastAsia="黑体" w:cs="黑体"/>
          <w:b w:val="0"/>
          <w:bCs/>
          <w:sz w:val="44"/>
          <w:szCs w:val="44"/>
        </w:rPr>
      </w:pPr>
      <w:r>
        <w:rPr>
          <w:rFonts w:hint="eastAsia" w:ascii="黑体" w:hAnsi="黑体" w:eastAsia="黑体" w:cs="黑体"/>
          <w:b w:val="0"/>
          <w:bCs/>
          <w:sz w:val="44"/>
          <w:szCs w:val="44"/>
          <w:lang w:val="en-US" w:eastAsia="zh-CN"/>
        </w:rPr>
        <w:t>四</w:t>
      </w:r>
      <w:r>
        <w:rPr>
          <w:rFonts w:hint="eastAsia" w:ascii="黑体" w:hAnsi="黑体" w:eastAsia="黑体" w:cs="黑体"/>
          <w:b w:val="0"/>
          <w:bCs/>
          <w:sz w:val="44"/>
          <w:szCs w:val="44"/>
        </w:rPr>
        <w:t>、类似业绩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8"/>
        <w:spacing w:before="12"/>
        <w:ind w:left="5250"/>
        <w:rPr>
          <w:sz w:val="14"/>
        </w:rPr>
      </w:pPr>
    </w:p>
    <w:tbl>
      <w:tblPr>
        <w:tblStyle w:val="15"/>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tcPr>
          <w:p>
            <w:pPr>
              <w:pStyle w:val="25"/>
              <w:rPr>
                <w:sz w:val="20"/>
              </w:rPr>
            </w:pPr>
          </w:p>
          <w:p>
            <w:pPr>
              <w:pStyle w:val="25"/>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tcPr>
          <w:p>
            <w:pPr>
              <w:pStyle w:val="25"/>
              <w:spacing w:before="7"/>
              <w:rPr>
                <w:sz w:val="17"/>
              </w:rPr>
            </w:pPr>
          </w:p>
          <w:p>
            <w:pPr>
              <w:pStyle w:val="25"/>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tcPr>
          <w:p>
            <w:pPr>
              <w:pStyle w:val="25"/>
              <w:spacing w:before="11"/>
              <w:rPr>
                <w:sz w:val="17"/>
              </w:rPr>
            </w:pPr>
          </w:p>
          <w:p>
            <w:pPr>
              <w:pStyle w:val="25"/>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tcPr>
          <w:p>
            <w:pPr>
              <w:pStyle w:val="25"/>
              <w:spacing w:before="8"/>
              <w:rPr>
                <w:sz w:val="17"/>
              </w:rPr>
            </w:pPr>
          </w:p>
          <w:p>
            <w:pPr>
              <w:pStyle w:val="25"/>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5"/>
              <w:spacing w:before="12"/>
              <w:rPr>
                <w:sz w:val="17"/>
              </w:rPr>
            </w:pPr>
          </w:p>
          <w:p>
            <w:pPr>
              <w:pStyle w:val="25"/>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tcPr>
          <w:p>
            <w:pPr>
              <w:pStyle w:val="25"/>
              <w:spacing w:before="9"/>
              <w:rPr>
                <w:sz w:val="17"/>
              </w:rPr>
            </w:pPr>
          </w:p>
          <w:p>
            <w:pPr>
              <w:pStyle w:val="25"/>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tcPr>
          <w:p>
            <w:pPr>
              <w:pStyle w:val="25"/>
              <w:spacing w:line="440" w:lineRule="exact"/>
              <w:ind w:left="440" w:right="437" w:firstLine="210"/>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5"/>
              <w:spacing w:before="12"/>
              <w:rPr>
                <w:sz w:val="17"/>
              </w:rPr>
            </w:pPr>
          </w:p>
          <w:p>
            <w:pPr>
              <w:pStyle w:val="25"/>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tcPr>
          <w:p>
            <w:pPr>
              <w:pStyle w:val="25"/>
              <w:rPr>
                <w:sz w:val="20"/>
              </w:rPr>
            </w:pPr>
          </w:p>
          <w:p>
            <w:pPr>
              <w:pStyle w:val="25"/>
              <w:rPr>
                <w:sz w:val="20"/>
              </w:rPr>
            </w:pPr>
          </w:p>
          <w:p>
            <w:pPr>
              <w:pStyle w:val="25"/>
              <w:rPr>
                <w:sz w:val="20"/>
              </w:rPr>
            </w:pPr>
          </w:p>
          <w:p>
            <w:pPr>
              <w:pStyle w:val="25"/>
              <w:rPr>
                <w:sz w:val="20"/>
              </w:rPr>
            </w:pPr>
          </w:p>
          <w:p>
            <w:pPr>
              <w:pStyle w:val="25"/>
              <w:spacing w:before="12"/>
              <w:rPr>
                <w:sz w:val="16"/>
              </w:rPr>
            </w:pPr>
          </w:p>
          <w:p>
            <w:pPr>
              <w:pStyle w:val="25"/>
              <w:spacing w:line="393" w:lineRule="auto"/>
              <w:ind w:left="440" w:right="122" w:hanging="315"/>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tcPr>
          <w:p>
            <w:pPr>
              <w:pStyle w:val="25"/>
              <w:spacing w:before="6"/>
              <w:rPr>
                <w:sz w:val="17"/>
              </w:rPr>
            </w:pPr>
          </w:p>
          <w:p>
            <w:pPr>
              <w:pStyle w:val="25"/>
              <w:ind w:left="525" w:right="523"/>
              <w:jc w:val="center"/>
              <w:rPr>
                <w:sz w:val="21"/>
              </w:rPr>
            </w:pPr>
            <w:r>
              <w:rPr>
                <w:sz w:val="21"/>
              </w:rPr>
              <w:t>备注</w:t>
            </w:r>
          </w:p>
        </w:tc>
        <w:tc>
          <w:tcPr>
            <w:tcW w:w="6807" w:type="dxa"/>
            <w:tcBorders>
              <w:top w:val="single" w:color="000000" w:sz="6" w:space="0"/>
              <w:left w:val="single" w:color="000000" w:sz="6" w:space="0"/>
            </w:tcBorders>
          </w:tcPr>
          <w:p>
            <w:pPr>
              <w:pStyle w:val="25"/>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8"/>
        <w:spacing w:before="18"/>
        <w:jc w:val="center"/>
        <w:rPr>
          <w:rFonts w:hint="eastAsia" w:ascii="黑体" w:hAnsi="黑体" w:eastAsia="黑体" w:cs="黑体"/>
          <w:sz w:val="44"/>
          <w:szCs w:val="44"/>
          <w:lang w:val="en-US" w:eastAsia="zh-CN"/>
        </w:rPr>
      </w:pPr>
    </w:p>
    <w:p>
      <w:pPr>
        <w:pStyle w:val="8"/>
        <w:spacing w:before="18"/>
        <w:jc w:val="center"/>
        <w:rPr>
          <w:rFonts w:hint="eastAsia" w:ascii="黑体" w:hAnsi="黑体" w:eastAsia="黑体" w:cs="黑体"/>
          <w:b/>
          <w:sz w:val="44"/>
          <w:szCs w:val="44"/>
        </w:rPr>
      </w:pPr>
      <w:r>
        <w:rPr>
          <w:rFonts w:hint="eastAsia" w:ascii="黑体" w:hAnsi="黑体" w:eastAsia="黑体" w:cs="黑体"/>
          <w:sz w:val="44"/>
          <w:szCs w:val="44"/>
          <w:lang w:val="en-US" w:eastAsia="zh-CN"/>
        </w:rPr>
        <w:t>五</w:t>
      </w:r>
      <w:r>
        <w:rPr>
          <w:rFonts w:hint="eastAsia" w:ascii="黑体" w:hAnsi="黑体" w:eastAsia="黑体" w:cs="黑体"/>
          <w:sz w:val="44"/>
          <w:szCs w:val="44"/>
        </w:rPr>
        <w:t>、服务承诺书</w:t>
      </w:r>
    </w:p>
    <w:p>
      <w:pPr>
        <w:pStyle w:val="8"/>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3"/>
        <w:spacing w:line="360" w:lineRule="auto"/>
        <w:ind w:left="906" w:firstLine="0"/>
        <w:rPr>
          <w:color w:val="000000"/>
          <w:sz w:val="24"/>
        </w:rPr>
      </w:pPr>
      <w:r>
        <w:rPr>
          <w:rFonts w:hint="eastAsia"/>
          <w:color w:val="000000"/>
          <w:sz w:val="24"/>
        </w:rPr>
        <w:t>一、保证中标后不转包；</w:t>
      </w:r>
    </w:p>
    <w:p>
      <w:pPr>
        <w:pStyle w:val="23"/>
        <w:spacing w:line="360" w:lineRule="auto"/>
        <w:ind w:left="906" w:firstLine="0"/>
        <w:rPr>
          <w:color w:val="000000"/>
          <w:sz w:val="24"/>
        </w:rPr>
      </w:pPr>
      <w:r>
        <w:rPr>
          <w:rFonts w:hint="eastAsia"/>
          <w:color w:val="000000"/>
          <w:sz w:val="24"/>
        </w:rPr>
        <w:t>二、保证中标后，按照招标文件要求提供合格产品，严把质量关；</w:t>
      </w:r>
    </w:p>
    <w:p>
      <w:pPr>
        <w:pStyle w:val="23"/>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3"/>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投标单位盖章</w:t>
      </w:r>
    </w:p>
    <w:p>
      <w:pPr>
        <w:spacing w:before="480" w:beforeLines="200" w:after="120" w:afterLines="50" w:line="260" w:lineRule="exact"/>
        <w:rPr>
          <w:rFonts w:ascii="宋体" w:hAnsi="Arial" w:cs="Arial"/>
          <w:sz w:val="24"/>
        </w:rPr>
      </w:pPr>
      <w:r>
        <w:rPr>
          <w:rFonts w:hint="eastAsia" w:ascii="宋体" w:hAnsi="Arial" w:cs="Arial"/>
          <w:sz w:val="24"/>
        </w:rPr>
        <w:t xml:space="preserve">   投标人代表签字：</w:t>
      </w:r>
    </w:p>
    <w:p>
      <w:pPr>
        <w:spacing w:before="480" w:beforeLines="200" w:after="120" w:afterLines="50" w:line="260" w:lineRule="exact"/>
        <w:rPr>
          <w:rFonts w:ascii="宋体" w:hAnsi="Arial" w:cs="Arial"/>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年   月   日</w:t>
      </w:r>
    </w:p>
    <w:p>
      <w:pPr>
        <w:spacing w:line="600" w:lineRule="exact"/>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rPr>
          <w:rFonts w:ascii="仿宋_GB2312" w:hAnsi="宋体" w:eastAsia="仿宋_GB2312"/>
          <w:szCs w:val="21"/>
          <w:lang w:val="en-US" w:eastAsia="zh-CN"/>
        </w:rPr>
      </w:pPr>
    </w:p>
    <w:p>
      <w:pPr>
        <w:spacing w:line="400" w:lineRule="atLeast"/>
        <w:jc w:val="center"/>
        <w:rPr>
          <w:rFonts w:hint="eastAsia" w:ascii="黑体" w:hAnsi="黑体" w:eastAsia="黑体" w:cs="黑体"/>
          <w:bCs/>
          <w:color w:val="000000"/>
          <w:sz w:val="44"/>
          <w:szCs w:val="44"/>
        </w:rPr>
      </w:pPr>
      <w:r>
        <w:rPr>
          <w:rFonts w:hint="eastAsia" w:ascii="黑体" w:hAnsi="黑体" w:eastAsia="黑体" w:cs="黑体"/>
          <w:bCs/>
          <w:color w:val="000000"/>
          <w:sz w:val="44"/>
          <w:szCs w:val="44"/>
          <w:lang w:val="en-US" w:eastAsia="zh-CN"/>
        </w:rPr>
        <w:t>六</w:t>
      </w:r>
      <w:r>
        <w:rPr>
          <w:rFonts w:hint="eastAsia" w:ascii="黑体" w:hAnsi="黑体" w:eastAsia="黑体" w:cs="黑体"/>
          <w:bCs/>
          <w:color w:val="000000"/>
          <w:sz w:val="44"/>
          <w:szCs w:val="44"/>
        </w:rPr>
        <w:t xml:space="preserve">  技术</w:t>
      </w:r>
      <w:r>
        <w:rPr>
          <w:rFonts w:hint="eastAsia" w:ascii="黑体" w:hAnsi="黑体" w:eastAsia="黑体" w:cs="黑体"/>
          <w:bCs/>
          <w:color w:val="000000"/>
          <w:sz w:val="44"/>
          <w:szCs w:val="44"/>
          <w:lang w:val="en-US" w:eastAsia="zh-CN"/>
        </w:rPr>
        <w:t>规范书</w:t>
      </w:r>
    </w:p>
    <w:p>
      <w:pPr>
        <w:spacing w:line="360" w:lineRule="auto"/>
        <w:jc w:val="left"/>
        <w:rPr>
          <w:rFonts w:hint="eastAsia" w:ascii="新宋体" w:hAnsi="新宋体" w:eastAsia="新宋体" w:cs="新宋体"/>
          <w:b/>
          <w:sz w:val="28"/>
          <w:szCs w:val="28"/>
        </w:rPr>
      </w:pPr>
      <w:bookmarkStart w:id="1" w:name="_Toc187807088"/>
      <w:bookmarkStart w:id="2" w:name="_Toc187799398"/>
      <w:bookmarkStart w:id="3" w:name="_Toc141871288"/>
    </w:p>
    <w:p>
      <w:pPr>
        <w:spacing w:line="360" w:lineRule="auto"/>
        <w:jc w:val="left"/>
        <w:rPr>
          <w:rFonts w:hint="eastAsia" w:ascii="新宋体" w:hAnsi="新宋体" w:eastAsia="新宋体" w:cs="新宋体"/>
          <w:b/>
          <w:sz w:val="28"/>
          <w:szCs w:val="28"/>
        </w:rPr>
      </w:pPr>
      <w:r>
        <w:rPr>
          <w:rFonts w:hint="eastAsia" w:ascii="新宋体" w:hAnsi="新宋体" w:eastAsia="新宋体" w:cs="新宋体"/>
          <w:b/>
          <w:sz w:val="28"/>
          <w:szCs w:val="28"/>
        </w:rPr>
        <w:t>1、总则</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1.1 本技术规范书适用于湖南省湘澧盐化有限责任公司生态盐分级分筛建设项目新建原盐料仓、平台及附属设施的采购、制作和安装,它提出了料仓的工作介质特性、操作条件、制作安装及检验等方面的技术要求。</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1.2技术规范书所提及的要求和供货范围都是最低限度的要求，并未对一切技术细节作出规定，也未充分地详述有关标准和规范的条文，但投标方应保证提供符合本技术规范书和工业标准的功能齐全的优质产品及其相应服务。</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1.3 投标人如对本技术规范书有偏差(无论多少或微小)都必须清楚地以书面方式提交招标人，否则招标人将认为投标人完全接受和同意本技术规范书的要求。</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1.4</w:t>
      </w:r>
      <w:bookmarkStart w:id="4" w:name="_Toc171611485"/>
      <w:bookmarkStart w:id="5" w:name="_Toc171936647"/>
      <w:bookmarkStart w:id="6" w:name="_Toc171936601"/>
      <w:r>
        <w:rPr>
          <w:rFonts w:hint="eastAsia" w:ascii="新宋体" w:hAnsi="新宋体" w:eastAsia="新宋体" w:cs="新宋体"/>
          <w:snapToGrid w:val="0"/>
          <w:kern w:val="0"/>
          <w:sz w:val="24"/>
          <w:szCs w:val="24"/>
        </w:rPr>
        <w:t>投标人须执行本技术规范书所列标准。有矛盾时，按较高标准执行。投标人在设备设计和制造中所涉及的各项规程、规范和标准必须遵循现行最新版本。</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1.5</w:t>
      </w:r>
      <w:bookmarkEnd w:id="4"/>
      <w:bookmarkEnd w:id="5"/>
      <w:bookmarkEnd w:id="6"/>
      <w:bookmarkStart w:id="7" w:name="_Toc171936648"/>
      <w:bookmarkStart w:id="8" w:name="_Toc171936602"/>
      <w:bookmarkStart w:id="9" w:name="_Toc171611486"/>
      <w:r>
        <w:rPr>
          <w:rFonts w:hint="eastAsia" w:ascii="新宋体" w:hAnsi="新宋体" w:eastAsia="新宋体" w:cs="新宋体"/>
          <w:snapToGrid w:val="0"/>
          <w:kern w:val="0"/>
          <w:sz w:val="24"/>
          <w:szCs w:val="24"/>
        </w:rPr>
        <w:t>若设备采用的专利涉及到的全部费用均被认为已包含在设备报价中，投标人应保证招标人不承担有关设备专利的一切责任。</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1.6</w:t>
      </w:r>
      <w:bookmarkEnd w:id="7"/>
      <w:bookmarkEnd w:id="8"/>
      <w:bookmarkEnd w:id="9"/>
      <w:bookmarkStart w:id="10" w:name="_Toc171936603"/>
      <w:bookmarkStart w:id="11" w:name="_Toc171936649"/>
      <w:bookmarkStart w:id="12" w:name="_Toc171611487"/>
      <w:r>
        <w:rPr>
          <w:rFonts w:hint="eastAsia" w:ascii="新宋体" w:hAnsi="新宋体" w:eastAsia="新宋体" w:cs="新宋体"/>
          <w:snapToGrid w:val="0"/>
          <w:kern w:val="0"/>
          <w:sz w:val="24"/>
          <w:szCs w:val="24"/>
        </w:rPr>
        <w:t>投标人应提供高质量的产品。这些产品焊接质量可靠、尺寸准确、表面处理符合图纸要求，焊缝打磨光滑，表面光洁。投标人应为产品的质量负责并具备提供高质量产品的设备制作能力和技术条件。</w:t>
      </w:r>
      <w:r>
        <w:rPr>
          <w:rFonts w:hint="eastAsia" w:ascii="新宋体" w:hAnsi="新宋体" w:eastAsia="新宋体" w:cs="新宋体"/>
          <w:color w:val="333333"/>
          <w:sz w:val="24"/>
          <w:szCs w:val="24"/>
        </w:rPr>
        <w:t xml:space="preserve">                                                                                                                                                                                                                                                                                                                                                                                                                                                                                                                                                                                                                                                  </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1.7</w:t>
      </w:r>
      <w:bookmarkEnd w:id="10"/>
      <w:bookmarkEnd w:id="11"/>
      <w:bookmarkEnd w:id="12"/>
      <w:r>
        <w:rPr>
          <w:rFonts w:hint="eastAsia" w:ascii="新宋体" w:hAnsi="新宋体" w:eastAsia="新宋体" w:cs="新宋体"/>
          <w:snapToGrid w:val="0"/>
          <w:kern w:val="0"/>
          <w:sz w:val="24"/>
          <w:szCs w:val="24"/>
        </w:rPr>
        <w:t>本技术规范书所定规范为最低要求，如投标方有更优良、经济的方案，可以超出本技术规范书所规定的条款。</w:t>
      </w:r>
    </w:p>
    <w:p>
      <w:pPr>
        <w:spacing w:line="360" w:lineRule="auto"/>
        <w:ind w:left="1"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1.8在签订合同之后，投标人有权提出因规范、标准和规程发生变化而产生的一些补充要求，具体项目由双方共同商定。</w:t>
      </w:r>
      <w:bookmarkStart w:id="13" w:name="_Toc171936650"/>
      <w:bookmarkStart w:id="14" w:name="_Toc171611488"/>
      <w:bookmarkStart w:id="15" w:name="_Toc171936604"/>
    </w:p>
    <w:p>
      <w:pPr>
        <w:spacing w:line="360" w:lineRule="auto"/>
        <w:ind w:left="1"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1.9本技术规范书将为订货合同的附件，与合同正文具有同等效力。</w:t>
      </w:r>
      <w:bookmarkEnd w:id="13"/>
      <w:bookmarkEnd w:id="14"/>
      <w:bookmarkEnd w:id="15"/>
    </w:p>
    <w:p>
      <w:pPr>
        <w:pStyle w:val="2"/>
        <w:keepLines w:val="0"/>
        <w:widowControl/>
        <w:numPr>
          <w:ilvl w:val="0"/>
          <w:numId w:val="0"/>
        </w:numPr>
        <w:tabs>
          <w:tab w:val="left" w:pos="420"/>
        </w:tabs>
        <w:spacing w:before="0" w:line="360" w:lineRule="auto"/>
        <w:ind w:leftChars="0"/>
        <w:jc w:val="both"/>
        <w:rPr>
          <w:rFonts w:hint="eastAsia" w:ascii="宋体" w:hAnsi="宋体" w:eastAsia="宋体" w:cs="宋体"/>
          <w:b w:val="0"/>
          <w:sz w:val="24"/>
          <w:szCs w:val="24"/>
          <w:lang w:val="en-US" w:eastAsia="zh-CN"/>
        </w:rPr>
      </w:pPr>
    </w:p>
    <w:p>
      <w:pPr>
        <w:pStyle w:val="2"/>
        <w:keepLines w:val="0"/>
        <w:widowControl/>
        <w:numPr>
          <w:ilvl w:val="0"/>
          <w:numId w:val="0"/>
        </w:numPr>
        <w:tabs>
          <w:tab w:val="left" w:pos="420"/>
        </w:tabs>
        <w:spacing w:before="0" w:line="360" w:lineRule="auto"/>
        <w:ind w:leftChars="0"/>
        <w:jc w:val="both"/>
        <w:rPr>
          <w:rFonts w:hint="eastAsia" w:ascii="黑体" w:hAnsi="宋体" w:cs="Arial"/>
          <w:b/>
          <w:bCs w:val="0"/>
          <w:sz w:val="28"/>
          <w:szCs w:val="28"/>
        </w:rPr>
      </w:pPr>
      <w:r>
        <w:rPr>
          <w:rFonts w:hint="eastAsia" w:ascii="宋体" w:hAnsi="宋体" w:eastAsia="宋体" w:cs="宋体"/>
          <w:b/>
          <w:bCs w:val="0"/>
          <w:sz w:val="28"/>
          <w:szCs w:val="28"/>
          <w:lang w:val="en-US" w:eastAsia="zh-CN"/>
        </w:rPr>
        <w:t>2.</w:t>
      </w:r>
      <w:r>
        <w:rPr>
          <w:rFonts w:hint="eastAsia" w:ascii="宋体" w:hAnsi="宋体" w:eastAsia="宋体" w:cs="宋体"/>
          <w:b/>
          <w:bCs w:val="0"/>
          <w:sz w:val="28"/>
          <w:szCs w:val="28"/>
        </w:rPr>
        <w:t>应用及设计参数</w:t>
      </w:r>
    </w:p>
    <w:p>
      <w:pPr>
        <w:pStyle w:val="3"/>
        <w:widowControl/>
        <w:numPr>
          <w:ilvl w:val="0"/>
          <w:numId w:val="0"/>
        </w:numPr>
        <w:tabs>
          <w:tab w:val="left" w:pos="420"/>
          <w:tab w:val="left" w:pos="525"/>
          <w:tab w:val="left" w:pos="576"/>
        </w:tabs>
        <w:spacing w:before="0" w:beforeLines="0" w:after="0" w:afterLines="0" w:line="360" w:lineRule="auto"/>
        <w:ind w:leftChars="0"/>
        <w:jc w:val="both"/>
        <w:rPr>
          <w:rFonts w:ascii="黑体" w:hAnsi="宋体"/>
          <w:b w:val="0"/>
          <w:sz w:val="24"/>
        </w:rPr>
      </w:pPr>
      <w:r>
        <w:rPr>
          <w:rFonts w:hint="eastAsia" w:ascii="黑体" w:hAnsi="宋体"/>
          <w:b w:val="0"/>
          <w:sz w:val="24"/>
          <w:lang w:val="en-US" w:eastAsia="zh-CN"/>
        </w:rPr>
        <w:t>2.1</w:t>
      </w:r>
      <w:r>
        <w:rPr>
          <w:rFonts w:ascii="黑体" w:hAnsi="宋体"/>
          <w:b w:val="0"/>
          <w:sz w:val="24"/>
        </w:rPr>
        <w:t>项目概述</w:t>
      </w:r>
    </w:p>
    <w:p>
      <w:pPr>
        <w:spacing w:line="360" w:lineRule="auto"/>
        <w:ind w:firstLine="480" w:firstLineChars="200"/>
        <w:rPr>
          <w:rFonts w:hint="eastAsia" w:eastAsia="新宋体"/>
          <w:color w:val="000000"/>
          <w:sz w:val="24"/>
          <w:lang w:val="en-US" w:eastAsia="zh-CN"/>
        </w:rPr>
      </w:pPr>
      <w:r>
        <w:rPr>
          <w:rFonts w:hint="eastAsia"/>
          <w:color w:val="000000"/>
          <w:sz w:val="24"/>
        </w:rPr>
        <w:t>本项目为湖南</w:t>
      </w:r>
      <w:r>
        <w:rPr>
          <w:rFonts w:hint="eastAsia"/>
          <w:color w:val="000000"/>
          <w:sz w:val="24"/>
          <w:lang w:val="en-US" w:eastAsia="zh-CN"/>
        </w:rPr>
        <w:t>省</w:t>
      </w:r>
      <w:r>
        <w:rPr>
          <w:rFonts w:hint="eastAsia"/>
          <w:color w:val="000000"/>
          <w:sz w:val="24"/>
        </w:rPr>
        <w:t>湘澧盐化有限</w:t>
      </w:r>
      <w:r>
        <w:rPr>
          <w:rFonts w:hint="eastAsia"/>
          <w:color w:val="000000"/>
          <w:sz w:val="24"/>
          <w:lang w:val="en-US" w:eastAsia="zh-CN"/>
        </w:rPr>
        <w:t>责任</w:t>
      </w:r>
      <w:r>
        <w:rPr>
          <w:rFonts w:hint="eastAsia"/>
          <w:color w:val="000000"/>
          <w:sz w:val="24"/>
        </w:rPr>
        <w:t>公司</w:t>
      </w:r>
      <w:r>
        <w:rPr>
          <w:rFonts w:hint="eastAsia"/>
          <w:color w:val="000000"/>
          <w:sz w:val="24"/>
          <w:lang w:val="en-US" w:eastAsia="zh-CN"/>
        </w:rPr>
        <w:t>生态盐分级分筛车间建设项目</w:t>
      </w:r>
      <w:r>
        <w:rPr>
          <w:rFonts w:hint="eastAsia" w:ascii="新宋体" w:hAnsi="新宋体" w:eastAsia="新宋体" w:cs="新宋体"/>
          <w:snapToGrid w:val="0"/>
          <w:kern w:val="0"/>
          <w:sz w:val="24"/>
          <w:szCs w:val="24"/>
        </w:rPr>
        <w:t>新建原盐料仓、平台及附属设施的采购、制作和安装</w:t>
      </w:r>
      <w:r>
        <w:rPr>
          <w:rFonts w:hint="eastAsia" w:ascii="新宋体" w:hAnsi="新宋体" w:eastAsia="新宋体" w:cs="新宋体"/>
          <w:snapToGrid w:val="0"/>
          <w:kern w:val="0"/>
          <w:sz w:val="24"/>
          <w:szCs w:val="24"/>
          <w:lang w:eastAsia="zh-CN"/>
        </w:rPr>
        <w:t>。</w:t>
      </w:r>
    </w:p>
    <w:p>
      <w:pPr>
        <w:pStyle w:val="3"/>
        <w:widowControl/>
        <w:numPr>
          <w:ilvl w:val="0"/>
          <w:numId w:val="0"/>
        </w:numPr>
        <w:tabs>
          <w:tab w:val="left" w:pos="420"/>
          <w:tab w:val="left" w:pos="525"/>
          <w:tab w:val="left" w:pos="576"/>
        </w:tabs>
        <w:spacing w:before="0" w:beforeLines="0" w:after="0" w:afterLines="0" w:line="360" w:lineRule="auto"/>
        <w:ind w:leftChars="0"/>
        <w:jc w:val="both"/>
        <w:rPr>
          <w:rFonts w:hint="eastAsia" w:ascii="黑体" w:hAnsi="宋体"/>
          <w:b w:val="0"/>
          <w:sz w:val="24"/>
        </w:rPr>
      </w:pPr>
      <w:r>
        <w:rPr>
          <w:rFonts w:hint="eastAsia" w:ascii="黑体" w:hAnsi="宋体"/>
          <w:b w:val="0"/>
          <w:sz w:val="24"/>
          <w:lang w:val="en-US" w:eastAsia="zh-CN"/>
        </w:rPr>
        <w:t>2.2</w:t>
      </w:r>
      <w:r>
        <w:rPr>
          <w:rFonts w:hint="eastAsia" w:ascii="黑体" w:hAnsi="宋体"/>
          <w:b w:val="0"/>
          <w:sz w:val="24"/>
        </w:rPr>
        <w:t>公用工程及气象条件</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湖南省湘澧盐化有限责任公司所在区域属中亚热带季风湿润气候区，具有热量丰富，无霜期长，光照充足，雨量充沛，气温垂直差异明显，气候要素时空分布不均等特点。</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历年平均气温：                 16.5℃</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绝对最高气温：                 40.5℃</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绝对最低气温：                -13.5℃</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历年平均相对湿度：             80%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多年平均气压：                 101.14kpa</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历年平均降雨量：               1273.7mm</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最大日降雨量：                 232mm</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露    点：</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-10ºC</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最大积雪厚度：                 200mm</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多年平均风速：                 2.6m/s</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最大风速：                　　 21.7m/s</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夏季主导风向：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南、西南</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冬季主导风向：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北、东北（频率18%）</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评价地区常年主导风风向为北、北东风，风向频率分别为18%；夏季盛行南、南西风，风向频率为17%。全年静风频率为17%，夏季较低，为12%，冬季较高，为22%。</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安装位置：湖南省湘澧盐化有限责任公司厂区</w:t>
      </w:r>
      <w:r>
        <w:rPr>
          <w:rFonts w:hint="eastAsia" w:ascii="新宋体" w:hAnsi="新宋体" w:eastAsia="新宋体" w:cs="新宋体"/>
          <w:sz w:val="24"/>
          <w:lang w:val="en-US" w:eastAsia="zh-CN"/>
        </w:rPr>
        <w:t>小包1期23.7米层</w:t>
      </w:r>
      <w:r>
        <w:rPr>
          <w:rFonts w:hint="eastAsia" w:ascii="新宋体" w:hAnsi="新宋体" w:eastAsia="新宋体" w:cs="新宋体"/>
          <w:sz w:val="24"/>
        </w:rPr>
        <w:t>安装。</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运行方式：连续运行</w:t>
      </w:r>
    </w:p>
    <w:p>
      <w:pPr>
        <w:spacing w:line="360" w:lineRule="auto"/>
        <w:ind w:firstLine="480" w:firstLineChars="200"/>
        <w:rPr>
          <w:rFonts w:hint="eastAsia" w:ascii="新宋体" w:hAnsi="新宋体" w:eastAsia="新宋体" w:cs="新宋体"/>
          <w:sz w:val="24"/>
        </w:rPr>
      </w:pPr>
    </w:p>
    <w:p>
      <w:pPr>
        <w:widowControl/>
        <w:numPr>
          <w:ilvl w:val="0"/>
          <w:numId w:val="0"/>
        </w:numPr>
        <w:spacing w:line="360" w:lineRule="auto"/>
        <w:ind w:leftChars="0"/>
        <w:jc w:val="left"/>
        <w:rPr>
          <w:rFonts w:hint="eastAsia" w:ascii="新宋体" w:hAnsi="新宋体" w:eastAsia="新宋体" w:cs="新宋体"/>
          <w:b/>
          <w:sz w:val="24"/>
          <w:szCs w:val="24"/>
          <w:lang w:eastAsia="zh-CN"/>
        </w:rPr>
      </w:pPr>
      <w:bookmarkStart w:id="16" w:name="_Toc287280865"/>
      <w:bookmarkStart w:id="17" w:name="_Toc464230164"/>
      <w:r>
        <w:rPr>
          <w:rFonts w:hint="eastAsia" w:ascii="新宋体" w:hAnsi="新宋体" w:eastAsia="新宋体" w:cs="新宋体"/>
          <w:b/>
          <w:sz w:val="24"/>
          <w:szCs w:val="24"/>
          <w:lang w:val="en-US" w:eastAsia="zh-CN"/>
        </w:rPr>
        <w:t xml:space="preserve">2.3 </w:t>
      </w:r>
      <w:r>
        <w:rPr>
          <w:rFonts w:hint="eastAsia" w:ascii="新宋体" w:hAnsi="新宋体" w:eastAsia="新宋体" w:cs="新宋体"/>
          <w:b/>
          <w:sz w:val="24"/>
          <w:szCs w:val="24"/>
          <w:lang w:eastAsia="zh-CN"/>
        </w:rPr>
        <w:t>物料特性</w:t>
      </w:r>
    </w:p>
    <w:p>
      <w:pPr>
        <w:widowControl/>
        <w:numPr>
          <w:ilvl w:val="0"/>
          <w:numId w:val="0"/>
        </w:numPr>
        <w:spacing w:line="360" w:lineRule="auto"/>
        <w:ind w:leftChars="0"/>
        <w:jc w:val="left"/>
        <w:rPr>
          <w:rFonts w:hint="eastAsia" w:ascii="新宋体" w:hAnsi="新宋体" w:eastAsia="新宋体" w:cs="新宋体"/>
          <w:b w:val="0"/>
          <w:bCs/>
          <w:sz w:val="24"/>
          <w:szCs w:val="24"/>
          <w:lang w:val="en-US" w:eastAsia="zh-CN"/>
        </w:rPr>
      </w:pPr>
      <w:r>
        <w:rPr>
          <w:rFonts w:hint="eastAsia" w:ascii="新宋体" w:hAnsi="新宋体" w:eastAsia="新宋体" w:cs="新宋体"/>
          <w:b/>
          <w:sz w:val="24"/>
          <w:szCs w:val="24"/>
          <w:lang w:val="en-US" w:eastAsia="zh-CN"/>
        </w:rPr>
        <w:t xml:space="preserve">  </w:t>
      </w:r>
      <w:r>
        <w:rPr>
          <w:rFonts w:hint="eastAsia" w:ascii="新宋体" w:hAnsi="新宋体" w:eastAsia="新宋体" w:cs="新宋体"/>
          <w:b w:val="0"/>
          <w:bCs/>
          <w:sz w:val="24"/>
          <w:szCs w:val="24"/>
          <w:lang w:val="en-US" w:eastAsia="zh-CN"/>
        </w:rPr>
        <w:t xml:space="preserve"> 物料名称：食用盐</w:t>
      </w:r>
    </w:p>
    <w:p>
      <w:pPr>
        <w:widowControl/>
        <w:numPr>
          <w:ilvl w:val="0"/>
          <w:numId w:val="0"/>
        </w:numPr>
        <w:spacing w:line="360" w:lineRule="auto"/>
        <w:ind w:leftChars="0"/>
        <w:jc w:val="left"/>
        <w:rPr>
          <w:rFonts w:hint="eastAsia" w:ascii="新宋体" w:hAnsi="新宋体" w:eastAsia="新宋体" w:cs="新宋体"/>
          <w:b w:val="0"/>
          <w:bCs/>
          <w:sz w:val="24"/>
          <w:szCs w:val="24"/>
          <w:lang w:val="en-US" w:eastAsia="zh-CN"/>
        </w:rPr>
      </w:pPr>
      <w:r>
        <w:rPr>
          <w:rFonts w:hint="eastAsia" w:ascii="新宋体" w:hAnsi="新宋体" w:eastAsia="新宋体" w:cs="新宋体"/>
          <w:b w:val="0"/>
          <w:bCs/>
          <w:sz w:val="24"/>
          <w:szCs w:val="24"/>
          <w:lang w:val="en-US" w:eastAsia="zh-CN"/>
        </w:rPr>
        <w:t xml:space="preserve">   堆积密度：1.25t/m3</w:t>
      </w:r>
    </w:p>
    <w:p>
      <w:pPr>
        <w:keepNext/>
        <w:spacing w:before="312" w:beforeLines="100" w:after="156" w:afterLines="50"/>
        <w:jc w:val="left"/>
        <w:outlineLvl w:val="1"/>
        <w:rPr>
          <w:rFonts w:ascii="黑体" w:hAnsi="宋体" w:eastAsia="黑体" w:cs="Arial"/>
          <w:b/>
          <w:bCs w:val="0"/>
          <w:sz w:val="28"/>
          <w:szCs w:val="28"/>
        </w:rPr>
      </w:pPr>
      <w:r>
        <w:rPr>
          <w:rFonts w:hint="eastAsia" w:ascii="新宋体" w:hAnsi="新宋体" w:eastAsia="新宋体" w:cs="新宋体"/>
          <w:b w:val="0"/>
          <w:bCs/>
          <w:sz w:val="24"/>
          <w:szCs w:val="24"/>
          <w:lang w:val="en-US" w:eastAsia="zh-CN"/>
        </w:rPr>
        <w:t xml:space="preserve">  </w:t>
      </w:r>
      <w:bookmarkEnd w:id="16"/>
      <w:bookmarkEnd w:id="17"/>
      <w:bookmarkStart w:id="18" w:name="_Toc287280873"/>
      <w:bookmarkStart w:id="19" w:name="_Toc463657506"/>
      <w:bookmarkStart w:id="20" w:name="_Toc462415859"/>
      <w:bookmarkStart w:id="21" w:name="_Toc178652596"/>
      <w:bookmarkStart w:id="22" w:name="_Toc511026275"/>
      <w:bookmarkStart w:id="23" w:name="_Toc444805479"/>
      <w:r>
        <w:rPr>
          <w:rFonts w:hint="eastAsia" w:ascii="黑体" w:hAnsi="宋体" w:eastAsia="黑体" w:cs="Arial"/>
          <w:b/>
          <w:bCs w:val="0"/>
          <w:sz w:val="28"/>
          <w:szCs w:val="28"/>
          <w:lang w:val="en-US" w:eastAsia="zh-CN"/>
        </w:rPr>
        <w:t>3.</w:t>
      </w:r>
      <w:r>
        <w:rPr>
          <w:rFonts w:ascii="黑体" w:hAnsi="宋体" w:eastAsia="黑体" w:cs="Arial"/>
          <w:b/>
          <w:bCs w:val="0"/>
          <w:sz w:val="28"/>
          <w:szCs w:val="28"/>
        </w:rPr>
        <w:t>供货范围</w:t>
      </w:r>
      <w:bookmarkEnd w:id="18"/>
      <w:bookmarkEnd w:id="19"/>
      <w:bookmarkEnd w:id="20"/>
    </w:p>
    <w:p>
      <w:pPr>
        <w:spacing w:line="360" w:lineRule="auto"/>
        <w:ind w:right="-2" w:firstLine="480" w:firstLineChars="200"/>
        <w:jc w:val="left"/>
        <w:rPr>
          <w:rFonts w:ascii="宋体" w:hAnsi="宋体"/>
          <w:color w:val="000000"/>
          <w:sz w:val="24"/>
        </w:rPr>
      </w:pPr>
      <w:r>
        <w:rPr>
          <w:rFonts w:hint="eastAsia"/>
          <w:sz w:val="24"/>
        </w:rPr>
        <w:t>湖南省湘澧盐化有限责任公司</w:t>
      </w:r>
      <w:r>
        <w:rPr>
          <w:rFonts w:hint="eastAsia"/>
          <w:sz w:val="24"/>
          <w:lang w:val="en-US" w:eastAsia="zh-CN"/>
        </w:rPr>
        <w:t>生态盐分级分筛建设项目</w:t>
      </w:r>
      <w:r>
        <w:rPr>
          <w:rFonts w:hint="eastAsia"/>
          <w:color w:val="000000"/>
          <w:sz w:val="24"/>
          <w:lang w:val="en-US" w:eastAsia="zh-CN"/>
        </w:rPr>
        <w:t>新建原盐料仓的制作和安装</w:t>
      </w:r>
      <w:r>
        <w:rPr>
          <w:rFonts w:hint="eastAsia"/>
          <w:color w:val="000000"/>
          <w:sz w:val="24"/>
        </w:rPr>
        <w:t>。</w:t>
      </w:r>
    </w:p>
    <w:p>
      <w:pPr>
        <w:spacing w:line="360" w:lineRule="auto"/>
        <w:ind w:leftChars="100"/>
        <w:rPr>
          <w:rFonts w:hint="eastAsia" w:ascii="宋体" w:hAnsi="宋体" w:cs="Arial"/>
          <w:sz w:val="24"/>
        </w:rPr>
      </w:pPr>
    </w:p>
    <w:p>
      <w:pPr>
        <w:spacing w:line="360" w:lineRule="auto"/>
        <w:ind w:leftChars="100"/>
        <w:rPr>
          <w:rFonts w:ascii="宋体" w:hAnsi="宋体" w:cs="Arial"/>
          <w:sz w:val="24"/>
        </w:rPr>
      </w:pPr>
      <w:r>
        <w:rPr>
          <w:rFonts w:hint="eastAsia" w:ascii="宋体" w:hAnsi="宋体" w:cs="Arial"/>
          <w:sz w:val="24"/>
        </w:rPr>
        <w:t>详细设备供货清单:</w:t>
      </w:r>
    </w:p>
    <w:tbl>
      <w:tblPr>
        <w:tblStyle w:val="15"/>
        <w:tblW w:w="5073" w:type="pct"/>
        <w:tblInd w:w="182" w:type="dxa"/>
        <w:tblLayout w:type="fixed"/>
        <w:tblCellMar>
          <w:top w:w="0" w:type="dxa"/>
          <w:left w:w="108" w:type="dxa"/>
          <w:bottom w:w="0" w:type="dxa"/>
          <w:right w:w="108" w:type="dxa"/>
        </w:tblCellMar>
      </w:tblPr>
      <w:tblGrid>
        <w:gridCol w:w="531"/>
        <w:gridCol w:w="2053"/>
        <w:gridCol w:w="2666"/>
        <w:gridCol w:w="784"/>
        <w:gridCol w:w="695"/>
        <w:gridCol w:w="675"/>
        <w:gridCol w:w="2018"/>
      </w:tblGrid>
      <w:tr>
        <w:tblPrEx>
          <w:tblCellMar>
            <w:top w:w="0" w:type="dxa"/>
            <w:left w:w="108" w:type="dxa"/>
            <w:bottom w:w="0" w:type="dxa"/>
            <w:right w:w="108" w:type="dxa"/>
          </w:tblCellMar>
        </w:tblPrEx>
        <w:trPr>
          <w:trHeight w:val="514" w:hRule="atLeast"/>
        </w:trPr>
        <w:tc>
          <w:tcPr>
            <w:tcW w:w="5000" w:type="pct"/>
            <w:gridSpan w:val="7"/>
            <w:tcBorders>
              <w:top w:val="single" w:color="auto" w:sz="4" w:space="0"/>
              <w:left w:val="single" w:color="auto" w:sz="8" w:space="0"/>
              <w:bottom w:val="single" w:color="auto" w:sz="4" w:space="0"/>
              <w:right w:val="single" w:color="000000" w:sz="8" w:space="0"/>
            </w:tcBorders>
            <w:noWrap/>
            <w:vAlign w:val="bottom"/>
          </w:tcPr>
          <w:p>
            <w:pPr>
              <w:spacing w:line="360" w:lineRule="auto"/>
              <w:jc w:val="center"/>
              <w:rPr>
                <w:rFonts w:hint="default" w:ascii="宋体" w:hAnsi="宋体" w:cs="宋体"/>
                <w:b/>
                <w:bCs/>
                <w:color w:val="000000"/>
                <w:kern w:val="0"/>
                <w:sz w:val="20"/>
                <w:szCs w:val="20"/>
                <w:lang w:val="en-US"/>
              </w:rPr>
            </w:pPr>
            <w:r>
              <w:rPr>
                <w:rFonts w:hint="eastAsia" w:ascii="宋体" w:hAnsi="宋体" w:cs="宋体"/>
                <w:b/>
                <w:bCs/>
                <w:color w:val="000000"/>
                <w:kern w:val="0"/>
                <w:sz w:val="24"/>
                <w:szCs w:val="24"/>
              </w:rPr>
              <w:t>湖南省湘澧盐化有限责任公司</w:t>
            </w:r>
            <w:r>
              <w:rPr>
                <w:rFonts w:hint="eastAsia" w:ascii="宋体" w:hAnsi="宋体" w:cs="宋体"/>
                <w:b/>
                <w:bCs/>
                <w:color w:val="000000"/>
                <w:kern w:val="0"/>
                <w:sz w:val="24"/>
                <w:szCs w:val="24"/>
                <w:lang w:val="en-US" w:eastAsia="zh-CN"/>
              </w:rPr>
              <w:t>生态盐分级分筛</w:t>
            </w:r>
            <w:r>
              <w:rPr>
                <w:rFonts w:hint="eastAsia" w:ascii="宋体" w:hAnsi="宋体" w:cs="宋体"/>
                <w:b/>
                <w:bCs/>
                <w:color w:val="000000"/>
                <w:kern w:val="0"/>
                <w:sz w:val="24"/>
                <w:szCs w:val="24"/>
              </w:rPr>
              <w:t>项目</w:t>
            </w:r>
            <w:r>
              <w:rPr>
                <w:rFonts w:hint="eastAsia" w:ascii="宋体" w:hAnsi="宋体" w:cs="宋体"/>
                <w:b/>
                <w:bCs/>
                <w:color w:val="000000"/>
                <w:kern w:val="0"/>
                <w:sz w:val="24"/>
                <w:szCs w:val="24"/>
                <w:lang w:val="en-US" w:eastAsia="zh-CN"/>
              </w:rPr>
              <w:t>原盐料仓的制作和安装</w:t>
            </w:r>
          </w:p>
        </w:tc>
      </w:tr>
      <w:tr>
        <w:tblPrEx>
          <w:tblCellMar>
            <w:top w:w="0" w:type="dxa"/>
            <w:left w:w="108" w:type="dxa"/>
            <w:bottom w:w="0" w:type="dxa"/>
            <w:right w:w="108" w:type="dxa"/>
          </w:tblCellMar>
        </w:tblPrEx>
        <w:trPr>
          <w:trHeight w:val="471" w:hRule="atLeast"/>
        </w:trPr>
        <w:tc>
          <w:tcPr>
            <w:tcW w:w="5000" w:type="pct"/>
            <w:gridSpan w:val="7"/>
            <w:tcBorders>
              <w:top w:val="single" w:color="auto" w:sz="8" w:space="0"/>
              <w:left w:val="single" w:color="auto" w:sz="8" w:space="0"/>
              <w:bottom w:val="single" w:color="auto" w:sz="4" w:space="0"/>
              <w:right w:val="single" w:color="auto" w:sz="8" w:space="0"/>
            </w:tcBorders>
            <w:noWrap w:val="0"/>
            <w:vAlign w:val="bottom"/>
          </w:tcPr>
          <w:p>
            <w:pPr>
              <w:spacing w:line="360" w:lineRule="auto"/>
              <w:jc w:val="center"/>
              <w:rPr>
                <w:rFonts w:hint="eastAsia" w:ascii="宋体" w:hAnsi="宋体" w:cs="宋体"/>
                <w:b/>
                <w:bCs/>
                <w:color w:val="000000"/>
                <w:kern w:val="0"/>
                <w:sz w:val="20"/>
                <w:szCs w:val="20"/>
              </w:rPr>
            </w:pPr>
            <w:r>
              <w:rPr>
                <w:rFonts w:hint="eastAsia" w:ascii="宋体" w:hAnsi="宋体" w:cs="宋体"/>
                <w:b/>
                <w:bCs/>
                <w:color w:val="000000"/>
                <w:kern w:val="0"/>
                <w:sz w:val="22"/>
                <w:szCs w:val="22"/>
              </w:rPr>
              <w:t>乙方供货范围</w:t>
            </w:r>
          </w:p>
        </w:tc>
      </w:tr>
      <w:tr>
        <w:tblPrEx>
          <w:tblCellMar>
            <w:top w:w="0" w:type="dxa"/>
            <w:left w:w="108" w:type="dxa"/>
            <w:bottom w:w="0" w:type="dxa"/>
            <w:right w:w="108" w:type="dxa"/>
          </w:tblCellMar>
        </w:tblPrEx>
        <w:trPr>
          <w:trHeight w:val="713" w:hRule="atLeast"/>
        </w:trPr>
        <w:tc>
          <w:tcPr>
            <w:tcW w:w="281" w:type="pct"/>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089"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设备名称</w:t>
            </w:r>
          </w:p>
        </w:tc>
        <w:tc>
          <w:tcPr>
            <w:tcW w:w="1414"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规格型号</w:t>
            </w:r>
          </w:p>
        </w:tc>
        <w:tc>
          <w:tcPr>
            <w:tcW w:w="416"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材质</w:t>
            </w:r>
          </w:p>
        </w:tc>
        <w:tc>
          <w:tcPr>
            <w:tcW w:w="368"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单位</w:t>
            </w:r>
          </w:p>
        </w:tc>
        <w:tc>
          <w:tcPr>
            <w:tcW w:w="358"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数量</w:t>
            </w:r>
          </w:p>
        </w:tc>
        <w:tc>
          <w:tcPr>
            <w:tcW w:w="1070" w:type="pct"/>
            <w:tcBorders>
              <w:top w:val="single" w:color="auto" w:sz="8" w:space="0"/>
              <w:left w:val="nil"/>
              <w:bottom w:val="single" w:color="auto" w:sz="4" w:space="0"/>
              <w:right w:val="single" w:color="auto" w:sz="8"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备注</w:t>
            </w:r>
          </w:p>
        </w:tc>
      </w:tr>
      <w:tr>
        <w:tblPrEx>
          <w:tblCellMar>
            <w:top w:w="0" w:type="dxa"/>
            <w:left w:w="108" w:type="dxa"/>
            <w:bottom w:w="0" w:type="dxa"/>
            <w:right w:w="108" w:type="dxa"/>
          </w:tblCellMar>
        </w:tblPrEx>
        <w:trPr>
          <w:trHeight w:val="525" w:hRule="atLeast"/>
        </w:trPr>
        <w:tc>
          <w:tcPr>
            <w:tcW w:w="281" w:type="pct"/>
            <w:tcBorders>
              <w:top w:val="nil"/>
              <w:left w:val="single" w:color="auto" w:sz="8" w:space="0"/>
              <w:bottom w:val="single" w:color="auto" w:sz="4" w:space="0"/>
              <w:right w:val="single" w:color="auto" w:sz="4" w:space="0"/>
            </w:tcBorders>
            <w:noWrap w:val="0"/>
            <w:vAlign w:val="bottom"/>
          </w:tcPr>
          <w:p>
            <w:pPr>
              <w:numPr>
                <w:ilvl w:val="0"/>
                <w:numId w:val="0"/>
              </w:numPr>
              <w:spacing w:line="360" w:lineRule="auto"/>
              <w:ind w:left="420" w:leftChars="0" w:hanging="420" w:firstLineChars="0"/>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089" w:type="pct"/>
            <w:tcBorders>
              <w:top w:val="nil"/>
              <w:left w:val="nil"/>
              <w:bottom w:val="single" w:color="auto" w:sz="4" w:space="0"/>
              <w:right w:val="single" w:color="auto" w:sz="4" w:space="0"/>
            </w:tcBorders>
            <w:noWrap w:val="0"/>
            <w:vAlign w:val="bottom"/>
          </w:tcPr>
          <w:p>
            <w:pPr>
              <w:adjustRightInd w:val="0"/>
              <w:snapToGrid w:val="0"/>
              <w:spacing w:line="360" w:lineRule="auto"/>
              <w:jc w:val="center"/>
              <w:rPr>
                <w:rFonts w:hint="default" w:ascii="宋体" w:hAnsi="宋体" w:eastAsia="宋体" w:cs="宋体"/>
                <w:color w:val="0000FF"/>
                <w:kern w:val="0"/>
                <w:sz w:val="21"/>
                <w:szCs w:val="21"/>
                <w:lang w:val="en-US" w:eastAsia="zh-CN" w:bidi="ar-SA"/>
              </w:rPr>
            </w:pPr>
            <w:r>
              <w:rPr>
                <w:rFonts w:hint="eastAsia"/>
                <w:sz w:val="21"/>
                <w:szCs w:val="21"/>
                <w:lang w:val="en-US" w:eastAsia="zh-CN"/>
              </w:rPr>
              <w:t>原盐料仓</w:t>
            </w:r>
          </w:p>
        </w:tc>
        <w:tc>
          <w:tcPr>
            <w:tcW w:w="1414" w:type="pct"/>
            <w:tcBorders>
              <w:top w:val="nil"/>
              <w:left w:val="nil"/>
              <w:bottom w:val="single" w:color="auto" w:sz="4" w:space="0"/>
              <w:right w:val="single" w:color="auto" w:sz="4" w:space="0"/>
            </w:tcBorders>
            <w:noWrap w:val="0"/>
            <w:vAlign w:val="top"/>
          </w:tcPr>
          <w:p>
            <w:pPr>
              <w:spacing w:before="120" w:beforeLines="50"/>
              <w:jc w:val="center"/>
              <w:rPr>
                <w:rFonts w:hint="default" w:ascii="宋体" w:hAnsi="宋体" w:eastAsia="新宋体" w:cs="Times New Roman"/>
                <w:color w:val="0000FF"/>
                <w:kern w:val="2"/>
                <w:sz w:val="21"/>
                <w:szCs w:val="21"/>
                <w:lang w:val="en-US" w:eastAsia="zh-CN" w:bidi="ar-SA"/>
              </w:rPr>
            </w:pPr>
            <w:r>
              <w:rPr>
                <w:rFonts w:hint="eastAsia" w:ascii="新宋体" w:hAnsi="新宋体" w:eastAsia="新宋体" w:cs="新宋体"/>
                <w:color w:val="000000"/>
                <w:sz w:val="21"/>
                <w:szCs w:val="21"/>
              </w:rPr>
              <w:t>φ2</w:t>
            </w:r>
            <w:r>
              <w:rPr>
                <w:rFonts w:hint="eastAsia" w:ascii="新宋体" w:hAnsi="新宋体" w:eastAsia="新宋体" w:cs="新宋体"/>
                <w:color w:val="000000"/>
                <w:sz w:val="21"/>
                <w:szCs w:val="21"/>
                <w:lang w:val="en-US" w:eastAsia="zh-CN"/>
              </w:rPr>
              <w:t>5</w:t>
            </w:r>
            <w:r>
              <w:rPr>
                <w:rFonts w:hint="eastAsia" w:ascii="新宋体" w:hAnsi="新宋体" w:eastAsia="新宋体" w:cs="新宋体"/>
                <w:color w:val="000000"/>
                <w:sz w:val="21"/>
                <w:szCs w:val="21"/>
              </w:rPr>
              <w:t>00 H=</w:t>
            </w:r>
            <w:r>
              <w:rPr>
                <w:rFonts w:hint="eastAsia" w:ascii="新宋体" w:hAnsi="新宋体" w:eastAsia="新宋体" w:cs="新宋体"/>
                <w:color w:val="000000"/>
                <w:sz w:val="21"/>
                <w:szCs w:val="21"/>
                <w:lang w:val="en-US" w:eastAsia="zh-CN"/>
              </w:rPr>
              <w:t>7800</w:t>
            </w:r>
          </w:p>
        </w:tc>
        <w:tc>
          <w:tcPr>
            <w:tcW w:w="416" w:type="pct"/>
            <w:tcBorders>
              <w:top w:val="nil"/>
              <w:left w:val="nil"/>
              <w:bottom w:val="single" w:color="auto" w:sz="4" w:space="0"/>
              <w:right w:val="single" w:color="auto" w:sz="4" w:space="0"/>
            </w:tcBorders>
            <w:noWrap w:val="0"/>
            <w:vAlign w:val="top"/>
          </w:tcPr>
          <w:p>
            <w:pPr>
              <w:pStyle w:val="14"/>
              <w:snapToGrid w:val="0"/>
              <w:spacing w:before="120" w:beforeLines="50" w:beforeAutospacing="0" w:after="0" w:afterAutospacing="0"/>
              <w:jc w:val="center"/>
              <w:rPr>
                <w:rFonts w:hint="default" w:ascii="宋体" w:hAnsi="宋体" w:eastAsia="宋体" w:cs="宋体"/>
                <w:color w:val="0000FF"/>
                <w:kern w:val="0"/>
                <w:sz w:val="21"/>
                <w:szCs w:val="21"/>
                <w:lang w:val="en-US" w:eastAsia="zh-CN" w:bidi="ar-SA"/>
              </w:rPr>
            </w:pPr>
            <w:r>
              <w:rPr>
                <w:rFonts w:hint="eastAsia" w:ascii="宋体" w:hAnsi="宋体"/>
                <w:color w:val="000000"/>
                <w:sz w:val="21"/>
                <w:szCs w:val="21"/>
                <w:lang w:val="en-US" w:eastAsia="zh-CN"/>
              </w:rPr>
              <w:t>316L</w:t>
            </w:r>
          </w:p>
        </w:tc>
        <w:tc>
          <w:tcPr>
            <w:tcW w:w="368" w:type="pct"/>
            <w:tcBorders>
              <w:top w:val="nil"/>
              <w:left w:val="nil"/>
              <w:bottom w:val="single" w:color="auto" w:sz="4" w:space="0"/>
              <w:right w:val="single" w:color="auto" w:sz="4" w:space="0"/>
            </w:tcBorders>
            <w:noWrap w:val="0"/>
            <w:vAlign w:val="top"/>
          </w:tcPr>
          <w:p>
            <w:pPr>
              <w:pStyle w:val="14"/>
              <w:snapToGrid w:val="0"/>
              <w:spacing w:before="120" w:beforeLines="50" w:beforeAutospacing="0" w:after="0" w:afterAutospacing="0"/>
              <w:jc w:val="center"/>
              <w:rPr>
                <w:rFonts w:hint="eastAsia" w:ascii="宋体" w:hAnsi="宋体" w:eastAsia="宋体" w:cs="宋体"/>
                <w:color w:val="0000FF"/>
                <w:kern w:val="0"/>
                <w:sz w:val="21"/>
                <w:szCs w:val="21"/>
                <w:lang w:val="en-US" w:eastAsia="zh-CN" w:bidi="ar-SA"/>
              </w:rPr>
            </w:pPr>
            <w:r>
              <w:rPr>
                <w:rFonts w:hint="eastAsia" w:ascii="宋体" w:hAnsi="宋体" w:cs="宋体"/>
                <w:color w:val="auto"/>
                <w:kern w:val="0"/>
                <w:sz w:val="21"/>
                <w:szCs w:val="21"/>
                <w:lang w:val="en-US" w:eastAsia="zh-CN"/>
              </w:rPr>
              <w:t>台</w:t>
            </w:r>
          </w:p>
        </w:tc>
        <w:tc>
          <w:tcPr>
            <w:tcW w:w="358" w:type="pct"/>
            <w:tcBorders>
              <w:top w:val="nil"/>
              <w:left w:val="nil"/>
              <w:bottom w:val="single" w:color="auto" w:sz="4" w:space="0"/>
              <w:right w:val="single" w:color="auto" w:sz="4" w:space="0"/>
            </w:tcBorders>
            <w:noWrap w:val="0"/>
            <w:vAlign w:val="bottom"/>
          </w:tcPr>
          <w:p>
            <w:pPr>
              <w:adjustRightInd w:val="0"/>
              <w:snapToGrid w:val="0"/>
              <w:spacing w:line="360" w:lineRule="auto"/>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2</w:t>
            </w:r>
          </w:p>
        </w:tc>
        <w:tc>
          <w:tcPr>
            <w:tcW w:w="1070" w:type="pct"/>
            <w:tcBorders>
              <w:top w:val="nil"/>
              <w:left w:val="nil"/>
              <w:bottom w:val="single" w:color="auto" w:sz="4" w:space="0"/>
              <w:right w:val="single" w:color="auto" w:sz="8" w:space="0"/>
            </w:tcBorders>
            <w:noWrap w:val="0"/>
            <w:vAlign w:val="bottom"/>
          </w:tcPr>
          <w:p>
            <w:pPr>
              <w:spacing w:line="360" w:lineRule="auto"/>
              <w:jc w:val="center"/>
              <w:rPr>
                <w:rFonts w:hint="default" w:ascii="宋体" w:hAnsi="宋体" w:cs="宋体"/>
                <w:color w:val="000000"/>
                <w:kern w:val="0"/>
                <w:szCs w:val="21"/>
                <w:lang w:val="en-US" w:eastAsia="zh-CN"/>
              </w:rPr>
            </w:pPr>
          </w:p>
        </w:tc>
      </w:tr>
      <w:tr>
        <w:tblPrEx>
          <w:tblCellMar>
            <w:top w:w="0" w:type="dxa"/>
            <w:left w:w="108" w:type="dxa"/>
            <w:bottom w:w="0" w:type="dxa"/>
            <w:right w:w="108" w:type="dxa"/>
          </w:tblCellMar>
        </w:tblPrEx>
        <w:trPr>
          <w:trHeight w:val="518" w:hRule="atLeast"/>
        </w:trPr>
        <w:tc>
          <w:tcPr>
            <w:tcW w:w="281" w:type="pct"/>
            <w:tcBorders>
              <w:top w:val="nil"/>
              <w:left w:val="single" w:color="auto" w:sz="8" w:space="0"/>
              <w:bottom w:val="single" w:color="auto" w:sz="4" w:space="0"/>
              <w:right w:val="single" w:color="auto" w:sz="4" w:space="0"/>
            </w:tcBorders>
            <w:noWrap w:val="0"/>
            <w:vAlign w:val="bottom"/>
          </w:tcPr>
          <w:p>
            <w:pPr>
              <w:numPr>
                <w:ilvl w:val="0"/>
                <w:numId w:val="0"/>
              </w:numPr>
              <w:spacing w:line="360" w:lineRule="auto"/>
              <w:ind w:left="420" w:leftChars="0" w:hanging="420" w:firstLineChars="0"/>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1089"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FF"/>
                <w:kern w:val="0"/>
                <w:sz w:val="21"/>
                <w:szCs w:val="21"/>
                <w:lang w:val="en-US" w:eastAsia="zh-CN" w:bidi="ar-SA"/>
              </w:rPr>
            </w:pPr>
            <w:r>
              <w:rPr>
                <w:rFonts w:hint="eastAsia" w:ascii="宋体" w:hAnsi="宋体" w:cs="宋体"/>
                <w:i w:val="0"/>
                <w:iCs w:val="0"/>
                <w:color w:val="000000"/>
                <w:kern w:val="0"/>
                <w:sz w:val="22"/>
                <w:szCs w:val="22"/>
                <w:u w:val="none"/>
                <w:lang w:val="en-US" w:eastAsia="zh-CN" w:bidi="ar"/>
              </w:rPr>
              <w:t>操作平台</w:t>
            </w:r>
          </w:p>
        </w:tc>
        <w:tc>
          <w:tcPr>
            <w:tcW w:w="1414"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0000FF"/>
                <w:kern w:val="2"/>
                <w:sz w:val="21"/>
                <w:szCs w:val="21"/>
                <w:lang w:val="en-US" w:eastAsia="zh-CN" w:bidi="ar-SA"/>
              </w:rPr>
            </w:pPr>
            <w:r>
              <w:rPr>
                <w:rFonts w:hint="eastAsia" w:ascii="宋体" w:hAnsi="宋体" w:cs="Times New Roman"/>
                <w:color w:val="0000FF"/>
                <w:kern w:val="2"/>
                <w:sz w:val="21"/>
                <w:szCs w:val="21"/>
                <w:lang w:val="en-US" w:eastAsia="zh-CN" w:bidi="ar-SA"/>
              </w:rPr>
              <w:t>/</w:t>
            </w:r>
          </w:p>
        </w:tc>
        <w:tc>
          <w:tcPr>
            <w:tcW w:w="416" w:type="pct"/>
            <w:tcBorders>
              <w:top w:val="nil"/>
              <w:left w:val="nil"/>
              <w:bottom w:val="single" w:color="auto" w:sz="4" w:space="0"/>
              <w:right w:val="single" w:color="auto" w:sz="4" w:space="0"/>
            </w:tcBorders>
            <w:noWrap w:val="0"/>
            <w:vAlign w:val="top"/>
          </w:tcPr>
          <w:p>
            <w:pPr>
              <w:pStyle w:val="14"/>
              <w:snapToGrid w:val="0"/>
              <w:spacing w:before="120" w:beforeLines="50" w:beforeAutospacing="0" w:after="0" w:afterAutospacing="0"/>
              <w:jc w:val="center"/>
              <w:rPr>
                <w:rFonts w:hint="eastAsia" w:ascii="宋体" w:hAnsi="宋体" w:eastAsia="宋体" w:cs="宋体"/>
                <w:color w:val="0000FF"/>
                <w:kern w:val="0"/>
                <w:sz w:val="21"/>
                <w:szCs w:val="21"/>
                <w:lang w:val="en-US" w:eastAsia="zh-CN" w:bidi="ar-SA"/>
              </w:rPr>
            </w:pPr>
            <w:r>
              <w:rPr>
                <w:rFonts w:hint="eastAsia" w:ascii="宋体" w:hAnsi="宋体"/>
                <w:color w:val="000000"/>
                <w:sz w:val="21"/>
                <w:szCs w:val="21"/>
                <w:lang w:val="en-US" w:eastAsia="zh-CN"/>
              </w:rPr>
              <w:t>304</w:t>
            </w:r>
          </w:p>
        </w:tc>
        <w:tc>
          <w:tcPr>
            <w:tcW w:w="368" w:type="pct"/>
            <w:tcBorders>
              <w:top w:val="nil"/>
              <w:left w:val="nil"/>
              <w:bottom w:val="single" w:color="auto" w:sz="4" w:space="0"/>
              <w:right w:val="single" w:color="auto" w:sz="4" w:space="0"/>
            </w:tcBorders>
            <w:noWrap w:val="0"/>
            <w:vAlign w:val="top"/>
          </w:tcPr>
          <w:p>
            <w:pPr>
              <w:pStyle w:val="14"/>
              <w:snapToGrid w:val="0"/>
              <w:spacing w:before="120" w:beforeLines="50" w:beforeAutospacing="0" w:after="0" w:afterAutospacing="0"/>
              <w:jc w:val="center"/>
              <w:rPr>
                <w:rFonts w:hint="eastAsia" w:ascii="宋体" w:hAnsi="宋体" w:eastAsia="宋体" w:cs="宋体"/>
                <w:color w:val="0000FF"/>
                <w:kern w:val="0"/>
                <w:sz w:val="21"/>
                <w:szCs w:val="21"/>
                <w:lang w:val="en-US" w:eastAsia="zh-CN" w:bidi="ar-SA"/>
              </w:rPr>
            </w:pPr>
            <w:r>
              <w:rPr>
                <w:rFonts w:hint="eastAsia" w:ascii="宋体" w:hAnsi="宋体" w:cs="宋体"/>
                <w:color w:val="auto"/>
                <w:kern w:val="0"/>
                <w:sz w:val="21"/>
                <w:szCs w:val="21"/>
                <w:lang w:val="en-US" w:eastAsia="zh-CN"/>
              </w:rPr>
              <w:t>套</w:t>
            </w:r>
          </w:p>
        </w:tc>
        <w:tc>
          <w:tcPr>
            <w:tcW w:w="358"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1</w:t>
            </w:r>
          </w:p>
        </w:tc>
        <w:tc>
          <w:tcPr>
            <w:tcW w:w="1070" w:type="pct"/>
            <w:tcBorders>
              <w:top w:val="nil"/>
              <w:left w:val="nil"/>
              <w:bottom w:val="single" w:color="auto" w:sz="4" w:space="0"/>
              <w:right w:val="single" w:color="auto" w:sz="8" w:space="0"/>
            </w:tcBorders>
            <w:noWrap w:val="0"/>
            <w:vAlign w:val="top"/>
          </w:tcPr>
          <w:p>
            <w:pPr>
              <w:spacing w:line="360" w:lineRule="auto"/>
              <w:rPr>
                <w:rFonts w:hint="eastAsia" w:ascii="宋体" w:hAnsi="宋体" w:cs="宋体"/>
                <w:color w:val="000000"/>
                <w:kern w:val="0"/>
                <w:szCs w:val="21"/>
              </w:rPr>
            </w:pPr>
          </w:p>
        </w:tc>
      </w:tr>
      <w:tr>
        <w:tblPrEx>
          <w:tblCellMar>
            <w:top w:w="0" w:type="dxa"/>
            <w:left w:w="108" w:type="dxa"/>
            <w:bottom w:w="0" w:type="dxa"/>
            <w:right w:w="108" w:type="dxa"/>
          </w:tblCellMar>
        </w:tblPrEx>
        <w:trPr>
          <w:trHeight w:val="518" w:hRule="atLeast"/>
        </w:trPr>
        <w:tc>
          <w:tcPr>
            <w:tcW w:w="281" w:type="pct"/>
            <w:tcBorders>
              <w:top w:val="nil"/>
              <w:left w:val="single" w:color="auto" w:sz="8" w:space="0"/>
              <w:bottom w:val="single" w:color="auto" w:sz="2" w:space="0"/>
              <w:right w:val="single" w:color="auto" w:sz="4" w:space="0"/>
            </w:tcBorders>
            <w:noWrap w:val="0"/>
            <w:vAlign w:val="bottom"/>
          </w:tcPr>
          <w:p>
            <w:pPr>
              <w:numPr>
                <w:ilvl w:val="0"/>
                <w:numId w:val="0"/>
              </w:numPr>
              <w:spacing w:line="360" w:lineRule="auto"/>
              <w:ind w:left="420" w:leftChars="0" w:hanging="420" w:firstLineChars="0"/>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089" w:type="pct"/>
            <w:tcBorders>
              <w:top w:val="nil"/>
              <w:left w:val="nil"/>
              <w:bottom w:val="single" w:color="auto" w:sz="2" w:space="0"/>
              <w:right w:val="single" w:color="auto" w:sz="4" w:space="0"/>
            </w:tcBorders>
            <w:noWrap w:val="0"/>
            <w:vAlign w:val="bottom"/>
          </w:tcPr>
          <w:p>
            <w:pPr>
              <w:spacing w:line="360" w:lineRule="auto"/>
              <w:jc w:val="center"/>
              <w:rPr>
                <w:rFonts w:hint="default" w:ascii="宋体" w:hAnsi="宋体" w:eastAsia="宋体" w:cs="宋体"/>
                <w:color w:val="0000FF"/>
                <w:kern w:val="0"/>
                <w:sz w:val="21"/>
                <w:szCs w:val="21"/>
                <w:lang w:val="en-US" w:eastAsia="zh-CN" w:bidi="ar-SA"/>
              </w:rPr>
            </w:pPr>
            <w:r>
              <w:rPr>
                <w:rFonts w:hint="eastAsia" w:ascii="宋体" w:hAnsi="宋体" w:cs="宋体"/>
                <w:color w:val="000000"/>
                <w:kern w:val="0"/>
                <w:szCs w:val="21"/>
                <w:lang w:val="en-US" w:eastAsia="zh-CN"/>
              </w:rPr>
              <w:t>称重传感器</w:t>
            </w:r>
          </w:p>
        </w:tc>
        <w:tc>
          <w:tcPr>
            <w:tcW w:w="1414" w:type="pct"/>
            <w:tcBorders>
              <w:top w:val="nil"/>
              <w:left w:val="nil"/>
              <w:bottom w:val="single" w:color="auto" w:sz="2"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0000FF"/>
                <w:kern w:val="2"/>
                <w:sz w:val="21"/>
                <w:szCs w:val="21"/>
                <w:lang w:val="en-US" w:eastAsia="zh-CN" w:bidi="ar-SA"/>
              </w:rPr>
            </w:pPr>
            <w:r>
              <w:rPr>
                <w:rFonts w:hint="eastAsia" w:ascii="宋体" w:hAnsi="宋体" w:cs="Times New Roman"/>
                <w:color w:val="auto"/>
                <w:kern w:val="2"/>
                <w:sz w:val="21"/>
                <w:szCs w:val="21"/>
                <w:lang w:val="en-US" w:eastAsia="zh-CN" w:bidi="ar-SA"/>
              </w:rPr>
              <w:t>50T</w:t>
            </w:r>
          </w:p>
        </w:tc>
        <w:tc>
          <w:tcPr>
            <w:tcW w:w="416" w:type="pct"/>
            <w:tcBorders>
              <w:top w:val="nil"/>
              <w:left w:val="nil"/>
              <w:bottom w:val="single" w:color="auto" w:sz="2" w:space="0"/>
              <w:right w:val="single" w:color="auto" w:sz="4" w:space="0"/>
            </w:tcBorders>
            <w:noWrap w:val="0"/>
            <w:vAlign w:val="top"/>
          </w:tcPr>
          <w:p>
            <w:pPr>
              <w:pStyle w:val="14"/>
              <w:snapToGrid w:val="0"/>
              <w:spacing w:before="120" w:beforeLines="50" w:beforeAutospacing="0" w:after="0" w:afterAutospacing="0"/>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304</w:t>
            </w:r>
          </w:p>
        </w:tc>
        <w:tc>
          <w:tcPr>
            <w:tcW w:w="368" w:type="pct"/>
            <w:tcBorders>
              <w:top w:val="nil"/>
              <w:left w:val="nil"/>
              <w:bottom w:val="single" w:color="auto" w:sz="2" w:space="0"/>
              <w:right w:val="single" w:color="auto" w:sz="4" w:space="0"/>
            </w:tcBorders>
            <w:noWrap w:val="0"/>
            <w:vAlign w:val="top"/>
          </w:tcPr>
          <w:p>
            <w:pPr>
              <w:pStyle w:val="14"/>
              <w:snapToGrid w:val="0"/>
              <w:spacing w:before="120" w:beforeLines="50" w:beforeAutospacing="0" w:after="0" w:afterAutospacing="0"/>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套</w:t>
            </w:r>
          </w:p>
        </w:tc>
        <w:tc>
          <w:tcPr>
            <w:tcW w:w="358" w:type="pct"/>
            <w:tcBorders>
              <w:top w:val="nil"/>
              <w:left w:val="nil"/>
              <w:bottom w:val="single" w:color="auto" w:sz="2"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2</w:t>
            </w:r>
          </w:p>
        </w:tc>
        <w:tc>
          <w:tcPr>
            <w:tcW w:w="1070" w:type="pct"/>
            <w:tcBorders>
              <w:top w:val="nil"/>
              <w:left w:val="nil"/>
              <w:bottom w:val="single" w:color="auto" w:sz="2" w:space="0"/>
              <w:right w:val="single" w:color="auto" w:sz="8" w:space="0"/>
            </w:tcBorders>
            <w:noWrap w:val="0"/>
            <w:vAlign w:val="bottom"/>
          </w:tcPr>
          <w:p>
            <w:pPr>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一套四只</w:t>
            </w:r>
          </w:p>
        </w:tc>
      </w:tr>
      <w:tr>
        <w:tblPrEx>
          <w:tblCellMar>
            <w:top w:w="0" w:type="dxa"/>
            <w:left w:w="108" w:type="dxa"/>
            <w:bottom w:w="0" w:type="dxa"/>
            <w:right w:w="108" w:type="dxa"/>
          </w:tblCellMar>
        </w:tblPrEx>
        <w:trPr>
          <w:trHeight w:val="518" w:hRule="atLeast"/>
        </w:trPr>
        <w:tc>
          <w:tcPr>
            <w:tcW w:w="281" w:type="pct"/>
            <w:tcBorders>
              <w:top w:val="single" w:color="auto" w:sz="2" w:space="0"/>
              <w:left w:val="single" w:color="auto" w:sz="8" w:space="0"/>
              <w:bottom w:val="single" w:color="auto" w:sz="4" w:space="0"/>
              <w:right w:val="single" w:color="auto" w:sz="2" w:space="0"/>
            </w:tcBorders>
            <w:noWrap w:val="0"/>
            <w:vAlign w:val="bottom"/>
          </w:tcPr>
          <w:p>
            <w:pPr>
              <w:numPr>
                <w:ilvl w:val="0"/>
                <w:numId w:val="0"/>
              </w:numPr>
              <w:spacing w:line="360" w:lineRule="auto"/>
              <w:ind w:left="420" w:leftChars="0" w:hanging="420" w:firstLineChars="0"/>
              <w:jc w:val="center"/>
              <w:rPr>
                <w:rFonts w:hint="default" w:ascii="宋体" w:hAnsi="宋体" w:cs="宋体"/>
                <w:color w:val="000000"/>
                <w:kern w:val="0"/>
                <w:szCs w:val="21"/>
                <w:lang w:val="en-US" w:eastAsia="zh-CN"/>
              </w:rPr>
            </w:pPr>
            <w:bookmarkStart w:id="24" w:name="_Toc287280874"/>
            <w:r>
              <w:rPr>
                <w:rFonts w:hint="eastAsia" w:ascii="宋体" w:hAnsi="宋体" w:cs="宋体"/>
                <w:color w:val="000000"/>
                <w:kern w:val="0"/>
                <w:szCs w:val="21"/>
                <w:lang w:val="en-US" w:eastAsia="zh-CN"/>
              </w:rPr>
              <w:t>4</w:t>
            </w:r>
          </w:p>
        </w:tc>
        <w:tc>
          <w:tcPr>
            <w:tcW w:w="1089" w:type="pct"/>
            <w:tcBorders>
              <w:top w:val="single" w:color="auto" w:sz="2" w:space="0"/>
              <w:left w:val="single" w:color="auto" w:sz="2" w:space="0"/>
              <w:bottom w:val="single" w:color="auto" w:sz="4" w:space="0"/>
              <w:right w:val="single" w:color="auto" w:sz="2"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000000"/>
                <w:kern w:val="0"/>
                <w:szCs w:val="21"/>
                <w:highlight w:val="none"/>
                <w:lang w:val="en-US" w:eastAsia="zh-CN"/>
              </w:rPr>
              <w:t>星型卸料器</w:t>
            </w:r>
          </w:p>
        </w:tc>
        <w:tc>
          <w:tcPr>
            <w:tcW w:w="1414" w:type="pct"/>
            <w:tcBorders>
              <w:top w:val="single" w:color="auto" w:sz="2" w:space="0"/>
              <w:left w:val="single" w:color="auto" w:sz="2" w:space="0"/>
              <w:bottom w:val="single" w:color="auto" w:sz="4" w:space="0"/>
              <w:right w:val="single" w:color="auto" w:sz="2" w:space="0"/>
            </w:tcBorders>
            <w:noWrap w:val="0"/>
            <w:vAlign w:val="center"/>
          </w:tcPr>
          <w:p>
            <w:pPr>
              <w:keepNext w:val="0"/>
              <w:keepLines w:val="0"/>
              <w:widowControl/>
              <w:suppressLineNumbers w:val="0"/>
              <w:jc w:val="center"/>
              <w:textAlignment w:val="center"/>
              <w:rPr>
                <w:rFonts w:hint="default" w:ascii="宋体" w:hAnsi="宋体" w:eastAsia="宋体" w:cs="Times New Roman"/>
                <w:color w:val="0000FF"/>
                <w:kern w:val="2"/>
                <w:sz w:val="21"/>
                <w:szCs w:val="21"/>
                <w:lang w:val="en-US" w:eastAsia="zh-CN" w:bidi="ar-SA"/>
              </w:rPr>
            </w:pPr>
            <w:r>
              <w:rPr>
                <w:rFonts w:hint="eastAsia" w:ascii="宋体" w:hAnsi="宋体" w:cs="Times New Roman"/>
                <w:color w:val="auto"/>
                <w:kern w:val="2"/>
                <w:sz w:val="21"/>
                <w:szCs w:val="21"/>
                <w:lang w:val="en-US" w:eastAsia="zh-CN" w:bidi="ar-SA"/>
              </w:rPr>
              <w:t>DN300</w:t>
            </w:r>
          </w:p>
        </w:tc>
        <w:tc>
          <w:tcPr>
            <w:tcW w:w="416" w:type="pct"/>
            <w:tcBorders>
              <w:top w:val="single" w:color="auto" w:sz="2" w:space="0"/>
              <w:left w:val="single" w:color="auto" w:sz="2" w:space="0"/>
              <w:bottom w:val="single" w:color="auto" w:sz="4" w:space="0"/>
              <w:right w:val="single" w:color="auto" w:sz="2" w:space="0"/>
            </w:tcBorders>
            <w:noWrap w:val="0"/>
            <w:vAlign w:val="top"/>
          </w:tcPr>
          <w:p>
            <w:pPr>
              <w:pStyle w:val="14"/>
              <w:snapToGrid w:val="0"/>
              <w:spacing w:before="120" w:beforeLines="50" w:beforeAutospacing="0" w:after="0" w:afterAutospacing="0"/>
              <w:jc w:val="center"/>
              <w:rPr>
                <w:rFonts w:hint="default" w:ascii="宋体" w:hAnsi="宋体" w:eastAsia="宋体" w:cs="宋体"/>
                <w:color w:val="0000FF"/>
                <w:kern w:val="0"/>
                <w:sz w:val="24"/>
                <w:szCs w:val="21"/>
                <w:lang w:val="en-US" w:eastAsia="zh-CN" w:bidi="ar-SA"/>
              </w:rPr>
            </w:pPr>
            <w:r>
              <w:rPr>
                <w:rFonts w:hint="eastAsia" w:ascii="宋体" w:hAnsi="宋体" w:cs="宋体"/>
                <w:color w:val="000000"/>
                <w:kern w:val="0"/>
                <w:sz w:val="21"/>
                <w:szCs w:val="21"/>
                <w:highlight w:val="none"/>
              </w:rPr>
              <w:t>316L</w:t>
            </w:r>
          </w:p>
        </w:tc>
        <w:tc>
          <w:tcPr>
            <w:tcW w:w="368" w:type="pct"/>
            <w:tcBorders>
              <w:top w:val="single" w:color="auto" w:sz="2" w:space="0"/>
              <w:left w:val="single" w:color="auto" w:sz="2" w:space="0"/>
              <w:bottom w:val="single" w:color="auto" w:sz="4" w:space="0"/>
              <w:right w:val="single" w:color="auto" w:sz="2" w:space="0"/>
            </w:tcBorders>
            <w:noWrap w:val="0"/>
            <w:vAlign w:val="top"/>
          </w:tcPr>
          <w:p>
            <w:pPr>
              <w:pStyle w:val="14"/>
              <w:snapToGrid w:val="0"/>
              <w:spacing w:before="120" w:beforeLines="50" w:beforeAutospacing="0" w:after="0" w:afterAutospacing="0"/>
              <w:jc w:val="center"/>
              <w:rPr>
                <w:rFonts w:hint="default" w:ascii="宋体" w:hAnsi="宋体" w:eastAsia="宋体" w:cs="宋体"/>
                <w:color w:val="0000FF"/>
                <w:kern w:val="0"/>
                <w:sz w:val="24"/>
                <w:szCs w:val="21"/>
                <w:lang w:val="en-US" w:eastAsia="zh-CN" w:bidi="ar-SA"/>
              </w:rPr>
            </w:pPr>
            <w:r>
              <w:rPr>
                <w:rFonts w:hint="eastAsia" w:ascii="宋体" w:hAnsi="宋体" w:cs="宋体"/>
                <w:color w:val="auto"/>
                <w:kern w:val="0"/>
                <w:sz w:val="21"/>
                <w:szCs w:val="21"/>
                <w:lang w:val="en-US" w:eastAsia="zh-CN" w:bidi="ar-SA"/>
              </w:rPr>
              <w:t>台</w:t>
            </w:r>
          </w:p>
        </w:tc>
        <w:tc>
          <w:tcPr>
            <w:tcW w:w="358" w:type="pct"/>
            <w:tcBorders>
              <w:top w:val="single" w:color="auto" w:sz="2" w:space="0"/>
              <w:left w:val="single" w:color="auto" w:sz="2" w:space="0"/>
              <w:bottom w:val="single" w:color="auto" w:sz="4" w:space="0"/>
              <w:right w:val="single" w:color="auto" w:sz="2"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2</w:t>
            </w:r>
          </w:p>
        </w:tc>
        <w:tc>
          <w:tcPr>
            <w:tcW w:w="1070" w:type="pct"/>
            <w:tcBorders>
              <w:top w:val="single" w:color="auto" w:sz="2" w:space="0"/>
              <w:left w:val="single" w:color="auto" w:sz="2" w:space="0"/>
              <w:bottom w:val="single" w:color="auto" w:sz="4" w:space="0"/>
              <w:right w:val="single" w:color="auto" w:sz="8" w:space="0"/>
            </w:tcBorders>
            <w:noWrap w:val="0"/>
            <w:vAlign w:val="top"/>
          </w:tcPr>
          <w:p>
            <w:pPr>
              <w:spacing w:line="360" w:lineRule="auto"/>
              <w:rPr>
                <w:rFonts w:hint="eastAsia" w:ascii="宋体" w:hAnsi="宋体" w:cs="宋体"/>
                <w:color w:val="000000"/>
                <w:kern w:val="0"/>
                <w:szCs w:val="21"/>
              </w:rPr>
            </w:pPr>
          </w:p>
        </w:tc>
      </w:tr>
      <w:bookmarkEnd w:id="21"/>
      <w:bookmarkEnd w:id="24"/>
    </w:tbl>
    <w:p>
      <w:pPr>
        <w:numPr>
          <w:ilvl w:val="0"/>
          <w:numId w:val="0"/>
        </w:numPr>
        <w:spacing w:line="360" w:lineRule="auto"/>
        <w:rPr>
          <w:rFonts w:ascii="宋体" w:hAnsi="宋体" w:cs="Arial"/>
          <w:sz w:val="24"/>
        </w:rPr>
      </w:pPr>
    </w:p>
    <w:bookmarkEnd w:id="22"/>
    <w:bookmarkEnd w:id="23"/>
    <w:p>
      <w:pPr>
        <w:pStyle w:val="2"/>
        <w:keepLines w:val="0"/>
        <w:widowControl/>
        <w:numPr>
          <w:ilvl w:val="0"/>
          <w:numId w:val="0"/>
        </w:numPr>
        <w:tabs>
          <w:tab w:val="left" w:pos="420"/>
        </w:tabs>
        <w:spacing w:before="0" w:line="360" w:lineRule="auto"/>
        <w:ind w:leftChars="0" w:right="540" w:rightChars="0"/>
        <w:jc w:val="both"/>
        <w:rPr>
          <w:rFonts w:hint="eastAsia" w:ascii="黑体" w:hAnsi="黑体" w:eastAsia="黑体" w:cs="黑体"/>
          <w:b/>
          <w:bCs w:val="0"/>
          <w:sz w:val="28"/>
          <w:szCs w:val="28"/>
        </w:rPr>
      </w:pPr>
      <w:bookmarkStart w:id="25" w:name="_Toc241660045"/>
      <w:bookmarkStart w:id="26" w:name="_Toc444805483"/>
      <w:bookmarkStart w:id="27" w:name="_Toc464230166"/>
      <w:bookmarkStart w:id="28" w:name="_Toc287280875"/>
      <w:bookmarkStart w:id="29" w:name="_Toc224729655"/>
      <w:r>
        <w:rPr>
          <w:rFonts w:hint="eastAsia" w:ascii="黑体" w:hAnsi="黑体" w:eastAsia="黑体" w:cs="黑体"/>
          <w:b/>
          <w:bCs w:val="0"/>
          <w:sz w:val="28"/>
          <w:szCs w:val="28"/>
          <w:lang w:val="en-US" w:eastAsia="zh-CN"/>
        </w:rPr>
        <w:t>4.</w:t>
      </w:r>
      <w:r>
        <w:rPr>
          <w:rFonts w:hint="eastAsia" w:ascii="黑体" w:hAnsi="黑体" w:eastAsia="黑体" w:cs="黑体"/>
          <w:b/>
          <w:bCs w:val="0"/>
          <w:sz w:val="28"/>
          <w:szCs w:val="28"/>
        </w:rPr>
        <w:t>技术服务、培训和售后服务</w:t>
      </w:r>
      <w:bookmarkEnd w:id="25"/>
      <w:bookmarkEnd w:id="26"/>
      <w:bookmarkEnd w:id="27"/>
      <w:bookmarkEnd w:id="28"/>
      <w:bookmarkEnd w:id="29"/>
      <w:bookmarkStart w:id="30" w:name="_Toc463657508"/>
      <w:bookmarkStart w:id="31" w:name="_Toc287280876"/>
      <w:bookmarkStart w:id="32" w:name="_Toc462415861"/>
    </w:p>
    <w:p>
      <w:pPr>
        <w:pStyle w:val="2"/>
        <w:keepLines w:val="0"/>
        <w:widowControl/>
        <w:numPr>
          <w:ilvl w:val="0"/>
          <w:numId w:val="0"/>
        </w:numPr>
        <w:tabs>
          <w:tab w:val="left" w:pos="420"/>
        </w:tabs>
        <w:spacing w:before="0" w:line="360" w:lineRule="auto"/>
        <w:ind w:leftChars="0" w:right="540" w:rightChars="0"/>
        <w:jc w:val="both"/>
        <w:rPr>
          <w:rFonts w:ascii="黑体" w:hAnsi="宋体" w:eastAsia="黑体" w:cs="Arial"/>
          <w:bCs/>
          <w:sz w:val="24"/>
        </w:rPr>
      </w:pPr>
      <w:r>
        <w:rPr>
          <w:rFonts w:hint="eastAsia" w:ascii="Arial" w:hAnsi="Arial" w:eastAsia="黑体" w:cs="Arial"/>
          <w:bCs/>
          <w:sz w:val="24"/>
          <w:lang w:val="en-US" w:eastAsia="zh-CN"/>
        </w:rPr>
        <w:t>4.1</w:t>
      </w:r>
      <w:r>
        <w:rPr>
          <w:rFonts w:hint="eastAsia" w:ascii="Arial" w:hAnsi="Arial" w:eastAsia="黑体" w:cs="Arial"/>
          <w:bCs/>
          <w:sz w:val="24"/>
        </w:rPr>
        <w:t>设计联络会</w:t>
      </w:r>
      <w:bookmarkEnd w:id="30"/>
      <w:bookmarkEnd w:id="31"/>
      <w:bookmarkEnd w:id="32"/>
    </w:p>
    <w:p>
      <w:pPr>
        <w:spacing w:line="360" w:lineRule="auto"/>
        <w:ind w:firstLine="480" w:firstLineChars="200"/>
        <w:rPr>
          <w:rFonts w:ascii="宋体" w:hAnsi="宋体" w:cs="Arial"/>
          <w:sz w:val="24"/>
        </w:rPr>
      </w:pPr>
      <w:r>
        <w:rPr>
          <w:rFonts w:hint="eastAsia" w:ascii="宋体" w:hAnsi="宋体" w:cs="Arial"/>
          <w:sz w:val="24"/>
        </w:rPr>
        <w:t>设计联络会在合同签订后，为解决设计接口问题，并对双方进行设计所需的互提技术资料、设计界线、采用的技术规程和技术标准、双方提供的图纸、资料进行讨论和确认。参加人员：项目经理，机械工程师、电气工程师。持续时间另约定。</w:t>
      </w:r>
    </w:p>
    <w:p>
      <w:pPr>
        <w:keepNext/>
        <w:spacing w:before="312" w:beforeLines="100" w:after="156" w:afterLines="50"/>
        <w:jc w:val="left"/>
        <w:outlineLvl w:val="1"/>
        <w:rPr>
          <w:rFonts w:ascii="Arial" w:hAnsi="Arial" w:eastAsia="黑体" w:cs="Arial"/>
          <w:bCs/>
          <w:sz w:val="24"/>
        </w:rPr>
      </w:pPr>
      <w:bookmarkStart w:id="33" w:name="_Toc241660047"/>
      <w:bookmarkStart w:id="34" w:name="_Toc462415862"/>
      <w:bookmarkStart w:id="35" w:name="_Toc463657509"/>
      <w:bookmarkStart w:id="36" w:name="_Toc224729657"/>
      <w:bookmarkStart w:id="37" w:name="_Toc287280877"/>
      <w:r>
        <w:rPr>
          <w:rFonts w:hint="eastAsia" w:ascii="Arial" w:hAnsi="Arial" w:eastAsia="黑体" w:cs="Arial"/>
          <w:bCs/>
          <w:sz w:val="24"/>
          <w:lang w:val="en-US" w:eastAsia="zh-CN"/>
        </w:rPr>
        <w:t>4.2</w:t>
      </w:r>
      <w:r>
        <w:rPr>
          <w:rFonts w:hint="eastAsia" w:ascii="Arial" w:hAnsi="Arial" w:eastAsia="黑体" w:cs="Arial"/>
          <w:bCs/>
          <w:sz w:val="24"/>
        </w:rPr>
        <w:t>安装、调试</w:t>
      </w:r>
      <w:bookmarkEnd w:id="33"/>
      <w:bookmarkEnd w:id="34"/>
      <w:bookmarkEnd w:id="35"/>
      <w:bookmarkEnd w:id="36"/>
      <w:bookmarkEnd w:id="37"/>
    </w:p>
    <w:p>
      <w:pPr>
        <w:spacing w:line="360" w:lineRule="auto"/>
        <w:ind w:firstLine="480" w:firstLineChars="200"/>
        <w:rPr>
          <w:rFonts w:ascii="宋体" w:hAnsi="宋体" w:cs="Arial"/>
          <w:sz w:val="24"/>
        </w:rPr>
      </w:pPr>
      <w:r>
        <w:rPr>
          <w:rFonts w:hint="eastAsia" w:ascii="宋体" w:hAnsi="宋体" w:cs="Arial"/>
          <w:sz w:val="24"/>
        </w:rPr>
        <w:t>1）乙方</w:t>
      </w:r>
      <w:r>
        <w:rPr>
          <w:rFonts w:hint="eastAsia" w:ascii="宋体" w:hAnsi="宋体" w:cs="Arial"/>
          <w:sz w:val="24"/>
          <w:lang w:val="en-US" w:eastAsia="zh-CN"/>
        </w:rPr>
        <w:t>负责所购设备的采购、制作、安装及调试、操作平台等制作</w:t>
      </w:r>
      <w:r>
        <w:rPr>
          <w:rFonts w:hint="eastAsia" w:ascii="宋体" w:hAnsi="宋体" w:cs="Arial"/>
          <w:sz w:val="24"/>
        </w:rPr>
        <w:t>。</w:t>
      </w:r>
    </w:p>
    <w:p>
      <w:pPr>
        <w:spacing w:line="360" w:lineRule="auto"/>
        <w:ind w:firstLine="480" w:firstLineChars="200"/>
        <w:rPr>
          <w:rFonts w:ascii="宋体" w:hAnsi="宋体" w:cs="Arial"/>
          <w:sz w:val="24"/>
        </w:rPr>
      </w:pPr>
      <w:r>
        <w:rPr>
          <w:rFonts w:hint="eastAsia" w:ascii="宋体" w:hAnsi="宋体" w:cs="Arial"/>
          <w:sz w:val="24"/>
          <w:lang w:val="en-US" w:eastAsia="zh-CN"/>
        </w:rPr>
        <w:t>2</w:t>
      </w:r>
      <w:r>
        <w:rPr>
          <w:rFonts w:hint="eastAsia" w:ascii="宋体" w:hAnsi="宋体" w:cs="Arial"/>
          <w:sz w:val="24"/>
        </w:rPr>
        <w:t>）</w:t>
      </w:r>
      <w:r>
        <w:rPr>
          <w:rFonts w:ascii="宋体" w:hAnsi="宋体" w:cs="Arial"/>
          <w:sz w:val="24"/>
        </w:rPr>
        <w:t>通常情况下，每套系统在</w:t>
      </w:r>
      <w:r>
        <w:rPr>
          <w:rFonts w:hint="eastAsia" w:ascii="宋体" w:hAnsi="宋体" w:cs="Arial"/>
          <w:sz w:val="24"/>
          <w:lang w:val="en-US" w:eastAsia="zh-CN"/>
        </w:rPr>
        <w:t>运行试验</w:t>
      </w:r>
      <w:r>
        <w:rPr>
          <w:rFonts w:ascii="宋体" w:hAnsi="宋体" w:cs="Arial"/>
          <w:sz w:val="24"/>
        </w:rPr>
        <w:t xml:space="preserve">期间需经过以下检查和测试： </w:t>
      </w:r>
    </w:p>
    <w:p>
      <w:pPr>
        <w:numPr>
          <w:ilvl w:val="0"/>
          <w:numId w:val="1"/>
        </w:numPr>
        <w:spacing w:line="360" w:lineRule="auto"/>
        <w:rPr>
          <w:rFonts w:ascii="宋体" w:hAnsi="宋体" w:cs="Arial"/>
          <w:sz w:val="24"/>
        </w:rPr>
      </w:pPr>
      <w:r>
        <w:rPr>
          <w:rFonts w:hint="eastAsia" w:ascii="宋体" w:hAnsi="宋体" w:cs="Arial"/>
          <w:sz w:val="24"/>
          <w:lang w:val="en-US" w:eastAsia="zh-CN"/>
        </w:rPr>
        <w:t>安装</w:t>
      </w:r>
      <w:r>
        <w:rPr>
          <w:rFonts w:ascii="宋体" w:hAnsi="宋体" w:cs="Arial"/>
          <w:sz w:val="24"/>
        </w:rPr>
        <w:t xml:space="preserve">前检查 </w:t>
      </w:r>
    </w:p>
    <w:p>
      <w:pPr>
        <w:numPr>
          <w:ilvl w:val="0"/>
          <w:numId w:val="1"/>
        </w:numPr>
        <w:spacing w:line="360" w:lineRule="auto"/>
        <w:rPr>
          <w:rFonts w:ascii="宋体" w:hAnsi="宋体" w:cs="Arial"/>
          <w:sz w:val="24"/>
        </w:rPr>
      </w:pPr>
      <w:r>
        <w:rPr>
          <w:rFonts w:ascii="宋体" w:hAnsi="宋体" w:cs="Arial"/>
          <w:sz w:val="24"/>
        </w:rPr>
        <w:t>空负荷</w:t>
      </w:r>
      <w:r>
        <w:rPr>
          <w:rFonts w:hint="eastAsia" w:ascii="宋体" w:hAnsi="宋体" w:cs="Arial"/>
          <w:sz w:val="24"/>
          <w:lang w:val="en-US" w:eastAsia="zh-CN"/>
        </w:rPr>
        <w:t>试验</w:t>
      </w:r>
      <w:r>
        <w:rPr>
          <w:rFonts w:ascii="宋体" w:hAnsi="宋体" w:cs="Arial"/>
          <w:sz w:val="24"/>
        </w:rPr>
        <w:t xml:space="preserve"> </w:t>
      </w:r>
    </w:p>
    <w:p>
      <w:pPr>
        <w:numPr>
          <w:ilvl w:val="0"/>
          <w:numId w:val="1"/>
        </w:numPr>
        <w:spacing w:line="360" w:lineRule="auto"/>
        <w:rPr>
          <w:rFonts w:ascii="宋体" w:hAnsi="宋体" w:cs="Arial"/>
          <w:sz w:val="24"/>
        </w:rPr>
      </w:pPr>
      <w:r>
        <w:rPr>
          <w:rFonts w:ascii="宋体" w:hAnsi="宋体" w:cs="Arial"/>
          <w:sz w:val="24"/>
        </w:rPr>
        <w:t>负荷</w:t>
      </w:r>
      <w:r>
        <w:rPr>
          <w:rFonts w:hint="eastAsia" w:ascii="宋体" w:hAnsi="宋体" w:cs="Arial"/>
          <w:sz w:val="24"/>
          <w:lang w:val="en-US" w:eastAsia="zh-CN"/>
        </w:rPr>
        <w:t>试验</w:t>
      </w:r>
      <w:r>
        <w:rPr>
          <w:rFonts w:ascii="宋体" w:hAnsi="宋体" w:cs="Arial"/>
          <w:sz w:val="24"/>
        </w:rPr>
        <w:t xml:space="preserve"> </w:t>
      </w:r>
    </w:p>
    <w:p>
      <w:pPr>
        <w:numPr>
          <w:ilvl w:val="0"/>
          <w:numId w:val="1"/>
        </w:numPr>
        <w:spacing w:line="360" w:lineRule="auto"/>
        <w:rPr>
          <w:rFonts w:ascii="宋体" w:hAnsi="宋体" w:cs="Arial"/>
          <w:sz w:val="24"/>
        </w:rPr>
      </w:pPr>
      <w:r>
        <w:rPr>
          <w:rFonts w:ascii="宋体" w:hAnsi="宋体" w:cs="Arial"/>
          <w:sz w:val="24"/>
        </w:rPr>
        <w:t xml:space="preserve">运行检查 </w:t>
      </w:r>
    </w:p>
    <w:p>
      <w:pPr>
        <w:spacing w:line="360" w:lineRule="auto"/>
        <w:ind w:firstLine="480" w:firstLineChars="200"/>
        <w:rPr>
          <w:rFonts w:ascii="宋体" w:hAnsi="宋体" w:cs="Arial"/>
          <w:sz w:val="24"/>
        </w:rPr>
      </w:pPr>
      <w:r>
        <w:rPr>
          <w:rFonts w:hint="eastAsia" w:ascii="宋体" w:hAnsi="宋体" w:cs="Arial"/>
          <w:sz w:val="24"/>
          <w:lang w:val="en-US" w:eastAsia="zh-CN"/>
        </w:rPr>
        <w:t>3</w:t>
      </w:r>
      <w:r>
        <w:rPr>
          <w:rFonts w:hint="eastAsia" w:ascii="宋体" w:hAnsi="宋体" w:cs="Arial"/>
          <w:sz w:val="24"/>
        </w:rPr>
        <w:t>）</w:t>
      </w:r>
      <w:r>
        <w:rPr>
          <w:rFonts w:ascii="宋体" w:hAnsi="宋体" w:cs="Arial"/>
          <w:sz w:val="24"/>
        </w:rPr>
        <w:t>为了避免</w:t>
      </w:r>
      <w:r>
        <w:rPr>
          <w:rFonts w:hint="eastAsia" w:ascii="宋体" w:hAnsi="宋体" w:cs="Arial"/>
          <w:sz w:val="24"/>
          <w:lang w:val="en-US" w:eastAsia="zh-CN"/>
        </w:rPr>
        <w:t>试验</w:t>
      </w:r>
      <w:r>
        <w:rPr>
          <w:rFonts w:ascii="宋体" w:hAnsi="宋体" w:cs="Arial"/>
          <w:sz w:val="24"/>
        </w:rPr>
        <w:t>期间任何不必要的支出和延误，</w:t>
      </w:r>
      <w:r>
        <w:rPr>
          <w:rFonts w:hint="eastAsia" w:ascii="宋体" w:hAnsi="宋体" w:cs="Arial"/>
          <w:sz w:val="24"/>
          <w:lang w:val="en-US" w:eastAsia="zh-CN"/>
        </w:rPr>
        <w:t>甲方</w:t>
      </w:r>
      <w:r>
        <w:rPr>
          <w:rFonts w:ascii="宋体" w:hAnsi="宋体" w:cs="Arial"/>
          <w:sz w:val="24"/>
        </w:rPr>
        <w:t>须确保与调试系统有关的所有设备已经就绪，并且有足够的物料。</w:t>
      </w:r>
      <w:r>
        <w:rPr>
          <w:rFonts w:hint="eastAsia" w:ascii="宋体" w:hAnsi="宋体" w:cs="Arial"/>
          <w:sz w:val="24"/>
          <w:lang w:val="en-US" w:eastAsia="zh-CN"/>
        </w:rPr>
        <w:t>试验</w:t>
      </w:r>
      <w:r>
        <w:rPr>
          <w:rFonts w:ascii="宋体" w:hAnsi="宋体" w:cs="Arial"/>
          <w:sz w:val="24"/>
        </w:rPr>
        <w:t>期间，如果需要，</w:t>
      </w:r>
      <w:r>
        <w:rPr>
          <w:rFonts w:hint="eastAsia" w:ascii="宋体" w:hAnsi="宋体" w:cs="Arial"/>
          <w:sz w:val="24"/>
          <w:lang w:val="en-US" w:eastAsia="zh-CN"/>
        </w:rPr>
        <w:t>甲方</w:t>
      </w:r>
      <w:r>
        <w:rPr>
          <w:rFonts w:ascii="宋体" w:hAnsi="宋体" w:cs="Arial"/>
          <w:sz w:val="24"/>
        </w:rPr>
        <w:t>须派代表协助</w:t>
      </w:r>
      <w:r>
        <w:rPr>
          <w:rFonts w:hint="eastAsia" w:ascii="宋体" w:hAnsi="宋体" w:cs="Arial"/>
          <w:sz w:val="24"/>
        </w:rPr>
        <w:t>乙方</w:t>
      </w:r>
      <w:r>
        <w:rPr>
          <w:rFonts w:ascii="宋体" w:hAnsi="宋体" w:cs="Arial"/>
          <w:sz w:val="24"/>
        </w:rPr>
        <w:t xml:space="preserve">公司工程师工作。 </w:t>
      </w:r>
    </w:p>
    <w:p>
      <w:pPr>
        <w:spacing w:line="360" w:lineRule="auto"/>
        <w:ind w:firstLine="480" w:firstLineChars="200"/>
        <w:rPr>
          <w:rFonts w:ascii="宋体" w:hAnsi="宋体" w:cs="Arial"/>
          <w:sz w:val="24"/>
        </w:rPr>
      </w:pPr>
      <w:r>
        <w:rPr>
          <w:rFonts w:hint="eastAsia" w:ascii="宋体" w:hAnsi="宋体" w:cs="Arial"/>
          <w:sz w:val="24"/>
          <w:lang w:val="en-US" w:eastAsia="zh-CN"/>
        </w:rPr>
        <w:t>4</w:t>
      </w:r>
      <w:r>
        <w:rPr>
          <w:rFonts w:hint="eastAsia" w:ascii="宋体" w:hAnsi="宋体" w:cs="Arial"/>
          <w:sz w:val="24"/>
        </w:rPr>
        <w:t>）</w:t>
      </w:r>
      <w:r>
        <w:rPr>
          <w:rFonts w:ascii="宋体" w:hAnsi="宋体" w:cs="Arial"/>
          <w:sz w:val="24"/>
        </w:rPr>
        <w:t>系统</w:t>
      </w:r>
      <w:r>
        <w:rPr>
          <w:rFonts w:hint="eastAsia" w:ascii="宋体" w:hAnsi="宋体" w:cs="Arial"/>
          <w:sz w:val="24"/>
          <w:lang w:val="en-US" w:eastAsia="zh-CN"/>
        </w:rPr>
        <w:t>试验</w:t>
      </w:r>
      <w:r>
        <w:rPr>
          <w:rFonts w:ascii="宋体" w:hAnsi="宋体" w:cs="Arial"/>
          <w:sz w:val="24"/>
        </w:rPr>
        <w:t>完成和运行检验满意后，</w:t>
      </w:r>
      <w:r>
        <w:rPr>
          <w:rFonts w:hint="eastAsia" w:ascii="宋体" w:hAnsi="宋体" w:cs="Arial"/>
          <w:sz w:val="24"/>
          <w:lang w:val="en-US" w:eastAsia="zh-CN"/>
        </w:rPr>
        <w:t>甲方</w:t>
      </w:r>
      <w:r>
        <w:rPr>
          <w:rFonts w:ascii="宋体" w:hAnsi="宋体" w:cs="Arial"/>
          <w:sz w:val="24"/>
        </w:rPr>
        <w:t>签署验收合格报告表明设备已满足用户的要求。</w:t>
      </w:r>
    </w:p>
    <w:p>
      <w:pPr>
        <w:keepNext/>
        <w:spacing w:before="312" w:beforeLines="100" w:after="156" w:afterLines="50"/>
        <w:jc w:val="left"/>
        <w:outlineLvl w:val="1"/>
        <w:rPr>
          <w:rFonts w:ascii="Arial" w:hAnsi="Arial" w:eastAsia="黑体" w:cs="Arial"/>
          <w:bCs/>
          <w:sz w:val="24"/>
        </w:rPr>
      </w:pPr>
      <w:bookmarkStart w:id="38" w:name="_Toc463657510"/>
      <w:bookmarkStart w:id="39" w:name="_Toc287280878"/>
      <w:bookmarkStart w:id="40" w:name="_Toc462415863"/>
      <w:bookmarkStart w:id="41" w:name="_Toc241660048"/>
      <w:bookmarkStart w:id="42" w:name="_Toc224729658"/>
      <w:r>
        <w:rPr>
          <w:rFonts w:hint="eastAsia" w:ascii="Arial" w:hAnsi="Arial" w:eastAsia="黑体" w:cs="Arial"/>
          <w:bCs/>
          <w:sz w:val="24"/>
          <w:lang w:val="en-US" w:eastAsia="zh-CN"/>
        </w:rPr>
        <w:t>4.3</w:t>
      </w:r>
      <w:r>
        <w:rPr>
          <w:rFonts w:hint="eastAsia" w:ascii="Arial" w:hAnsi="Arial" w:eastAsia="黑体" w:cs="Arial"/>
          <w:bCs/>
          <w:sz w:val="24"/>
        </w:rPr>
        <w:t>培训</w:t>
      </w:r>
      <w:bookmarkEnd w:id="38"/>
      <w:bookmarkEnd w:id="39"/>
      <w:bookmarkEnd w:id="40"/>
      <w:bookmarkEnd w:id="41"/>
      <w:bookmarkEnd w:id="42"/>
    </w:p>
    <w:p>
      <w:pPr>
        <w:spacing w:line="360" w:lineRule="auto"/>
        <w:ind w:firstLine="480" w:firstLineChars="200"/>
        <w:rPr>
          <w:rFonts w:ascii="宋体" w:hAnsi="宋体" w:cs="Arial"/>
          <w:sz w:val="24"/>
        </w:rPr>
      </w:pPr>
      <w:r>
        <w:rPr>
          <w:rFonts w:hint="eastAsia" w:ascii="宋体" w:hAnsi="宋体" w:cs="Arial"/>
          <w:sz w:val="24"/>
          <w:lang w:val="en-US" w:eastAsia="zh-CN"/>
        </w:rPr>
        <w:t>安装</w:t>
      </w:r>
      <w:r>
        <w:rPr>
          <w:rFonts w:hint="eastAsia" w:ascii="宋体" w:hAnsi="宋体" w:cs="Arial"/>
          <w:sz w:val="24"/>
        </w:rPr>
        <w:t>完成后，乙方工程师将为</w:t>
      </w:r>
      <w:r>
        <w:rPr>
          <w:rFonts w:hint="eastAsia" w:ascii="宋体" w:hAnsi="宋体" w:cs="Arial"/>
          <w:sz w:val="24"/>
          <w:lang w:val="en-US" w:eastAsia="zh-CN"/>
        </w:rPr>
        <w:t>甲方</w:t>
      </w:r>
      <w:r>
        <w:rPr>
          <w:rFonts w:hint="eastAsia" w:ascii="宋体" w:hAnsi="宋体" w:cs="Arial"/>
          <w:sz w:val="24"/>
        </w:rPr>
        <w:t>对所提供的系统的操作和维修进行培训。</w:t>
      </w:r>
      <w:r>
        <w:rPr>
          <w:rFonts w:hint="eastAsia" w:ascii="宋体" w:hAnsi="宋体" w:cs="Arial"/>
          <w:sz w:val="24"/>
          <w:lang w:val="en-US" w:eastAsia="zh-CN"/>
        </w:rPr>
        <w:t>甲方</w:t>
      </w:r>
      <w:r>
        <w:rPr>
          <w:rFonts w:hint="eastAsia" w:ascii="宋体" w:hAnsi="宋体" w:cs="Arial"/>
          <w:sz w:val="24"/>
        </w:rPr>
        <w:t>有责任保证在培训期间的人员到位。培训计划和内容由乙方负责，培训的人数由双方商定</w:t>
      </w:r>
    </w:p>
    <w:p>
      <w:pPr>
        <w:keepNext/>
        <w:spacing w:before="312" w:beforeLines="100" w:after="156" w:afterLines="50"/>
        <w:jc w:val="left"/>
        <w:outlineLvl w:val="1"/>
        <w:rPr>
          <w:rFonts w:ascii="Arial" w:hAnsi="Arial" w:eastAsia="黑体" w:cs="Arial"/>
          <w:bCs/>
          <w:sz w:val="24"/>
        </w:rPr>
      </w:pPr>
      <w:bookmarkStart w:id="43" w:name="_Toc462415864"/>
      <w:bookmarkStart w:id="44" w:name="_Toc241660049"/>
      <w:bookmarkStart w:id="45" w:name="_Toc224729659"/>
      <w:bookmarkStart w:id="46" w:name="_Toc287280879"/>
      <w:bookmarkStart w:id="47" w:name="_Toc463657511"/>
      <w:r>
        <w:rPr>
          <w:rFonts w:hint="eastAsia" w:ascii="Arial" w:hAnsi="Arial" w:eastAsia="黑体" w:cs="Arial"/>
          <w:bCs/>
          <w:sz w:val="24"/>
          <w:lang w:val="en-US" w:eastAsia="zh-CN"/>
        </w:rPr>
        <w:t>4.4</w:t>
      </w:r>
      <w:r>
        <w:rPr>
          <w:rFonts w:hint="eastAsia" w:ascii="Arial" w:hAnsi="Arial" w:eastAsia="黑体" w:cs="Arial"/>
          <w:bCs/>
          <w:sz w:val="24"/>
        </w:rPr>
        <w:t>售后服务</w:t>
      </w:r>
      <w:bookmarkEnd w:id="43"/>
      <w:bookmarkEnd w:id="44"/>
      <w:bookmarkEnd w:id="45"/>
      <w:bookmarkEnd w:id="46"/>
      <w:bookmarkEnd w:id="47"/>
    </w:p>
    <w:p>
      <w:pPr>
        <w:spacing w:line="360" w:lineRule="auto"/>
        <w:ind w:firstLine="480" w:firstLineChars="200"/>
        <w:rPr>
          <w:rFonts w:hint="eastAsia" w:ascii="宋体" w:hAnsi="宋体" w:cs="Arial"/>
          <w:sz w:val="24"/>
        </w:rPr>
      </w:pPr>
      <w:r>
        <w:rPr>
          <w:rFonts w:hint="eastAsia" w:ascii="宋体" w:hAnsi="宋体" w:cs="Arial"/>
          <w:sz w:val="24"/>
        </w:rPr>
        <w:t>质保期内，如甲方有必要请乙方人员到现场服务时，乙方将积极响应，在接到通知后</w:t>
      </w:r>
      <w:r>
        <w:rPr>
          <w:rFonts w:hint="eastAsia" w:cs="Arial"/>
          <w:sz w:val="24"/>
        </w:rPr>
        <w:t>省内12小时内赶到工作现场，省外24小时内赶到工作现场</w:t>
      </w:r>
      <w:r>
        <w:rPr>
          <w:rFonts w:hint="eastAsia" w:ascii="宋体" w:hAnsi="宋体" w:cs="Arial"/>
          <w:sz w:val="24"/>
        </w:rPr>
        <w:t>，帮助用户及时处理运行中出现的问题，保证设备长期稳定地运行。</w:t>
      </w:r>
    </w:p>
    <w:p>
      <w:pPr>
        <w:spacing w:line="360" w:lineRule="auto"/>
        <w:ind w:firstLine="480" w:firstLineChars="200"/>
        <w:rPr>
          <w:rFonts w:ascii="宋体" w:hAnsi="宋体" w:cs="Arial"/>
          <w:sz w:val="24"/>
        </w:rPr>
      </w:pPr>
      <w:r>
        <w:rPr>
          <w:rFonts w:hint="eastAsia" w:ascii="宋体" w:hAnsi="宋体" w:cs="Arial"/>
          <w:sz w:val="24"/>
        </w:rPr>
        <w:t>免费售后服务承诺为</w:t>
      </w:r>
      <w:r>
        <w:rPr>
          <w:rFonts w:hint="eastAsia" w:ascii="宋体" w:hAnsi="宋体" w:cs="Arial"/>
          <w:sz w:val="24"/>
          <w:lang w:val="en-US" w:eastAsia="zh-CN"/>
        </w:rPr>
        <w:t>1</w:t>
      </w:r>
      <w:r>
        <w:rPr>
          <w:rFonts w:hint="eastAsia" w:ascii="宋体" w:hAnsi="宋体" w:cs="Arial"/>
          <w:sz w:val="24"/>
        </w:rPr>
        <w:t>年。</w:t>
      </w:r>
    </w:p>
    <w:p>
      <w:pPr>
        <w:keepNext/>
        <w:spacing w:before="312" w:beforeLines="100" w:after="156" w:afterLines="50"/>
        <w:jc w:val="left"/>
        <w:outlineLvl w:val="1"/>
        <w:rPr>
          <w:rFonts w:hint="eastAsia" w:ascii="黑体" w:hAnsi="黑体" w:eastAsia="黑体" w:cs="黑体"/>
          <w:b/>
          <w:bCs w:val="0"/>
          <w:sz w:val="28"/>
          <w:szCs w:val="28"/>
        </w:rPr>
      </w:pPr>
      <w:bookmarkStart w:id="48" w:name="_Toc462415867"/>
      <w:bookmarkStart w:id="49" w:name="_Toc39635735"/>
      <w:bookmarkStart w:id="50" w:name="_Toc463657514"/>
      <w:bookmarkStart w:id="51" w:name="_Toc224729662"/>
      <w:bookmarkStart w:id="52" w:name="_Toc241660052"/>
      <w:bookmarkStart w:id="53" w:name="_Toc287280882"/>
      <w:r>
        <w:rPr>
          <w:rFonts w:hint="eastAsia" w:ascii="黑体" w:hAnsi="黑体" w:eastAsia="黑体" w:cs="黑体"/>
          <w:b/>
          <w:bCs w:val="0"/>
          <w:sz w:val="28"/>
          <w:szCs w:val="28"/>
          <w:lang w:val="en-US" w:eastAsia="zh-CN"/>
        </w:rPr>
        <w:t>5.</w:t>
      </w:r>
      <w:r>
        <w:rPr>
          <w:rFonts w:hint="eastAsia" w:ascii="黑体" w:hAnsi="黑体" w:eastAsia="黑体" w:cs="黑体"/>
          <w:b/>
          <w:bCs w:val="0"/>
          <w:sz w:val="28"/>
          <w:szCs w:val="28"/>
        </w:rPr>
        <w:t>资料和图纸</w:t>
      </w:r>
      <w:bookmarkEnd w:id="48"/>
      <w:bookmarkEnd w:id="49"/>
      <w:bookmarkEnd w:id="50"/>
      <w:bookmarkEnd w:id="51"/>
      <w:bookmarkEnd w:id="52"/>
      <w:bookmarkEnd w:id="53"/>
    </w:p>
    <w:p>
      <w:pPr>
        <w:spacing w:line="360" w:lineRule="auto"/>
        <w:rPr>
          <w:rFonts w:ascii="宋体" w:hAnsi="宋体" w:cs="Arial"/>
          <w:sz w:val="24"/>
        </w:rPr>
      </w:pPr>
      <w:r>
        <w:rPr>
          <w:rFonts w:hint="eastAsia" w:ascii="宋体" w:hAnsi="宋体" w:cs="Arial"/>
          <w:sz w:val="24"/>
        </w:rPr>
        <w:t>乙方交付资料如下表：</w:t>
      </w:r>
    </w:p>
    <w:tbl>
      <w:tblPr>
        <w:tblStyle w:val="15"/>
        <w:tblW w:w="8800" w:type="dxa"/>
        <w:jc w:val="center"/>
        <w:tblLayout w:type="fixed"/>
        <w:tblCellMar>
          <w:top w:w="0" w:type="dxa"/>
          <w:left w:w="108" w:type="dxa"/>
          <w:bottom w:w="0" w:type="dxa"/>
          <w:right w:w="108" w:type="dxa"/>
        </w:tblCellMar>
      </w:tblPr>
      <w:tblGrid>
        <w:gridCol w:w="1839"/>
        <w:gridCol w:w="2698"/>
        <w:gridCol w:w="4263"/>
      </w:tblGrid>
      <w:tr>
        <w:tblPrEx>
          <w:tblCellMar>
            <w:top w:w="0" w:type="dxa"/>
            <w:left w:w="108" w:type="dxa"/>
            <w:bottom w:w="0" w:type="dxa"/>
            <w:right w:w="108" w:type="dxa"/>
          </w:tblCellMar>
        </w:tblPrEx>
        <w:trPr>
          <w:trHeight w:val="574" w:hRule="atLeast"/>
          <w:jc w:val="center"/>
        </w:trPr>
        <w:tc>
          <w:tcPr>
            <w:tcW w:w="183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阶段</w:t>
            </w:r>
          </w:p>
        </w:tc>
        <w:tc>
          <w:tcPr>
            <w:tcW w:w="2698"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具体时间</w:t>
            </w:r>
          </w:p>
        </w:tc>
        <w:tc>
          <w:tcPr>
            <w:tcW w:w="426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提交资料内容</w:t>
            </w:r>
          </w:p>
        </w:tc>
      </w:tr>
      <w:tr>
        <w:tblPrEx>
          <w:tblCellMar>
            <w:top w:w="0" w:type="dxa"/>
            <w:left w:w="108" w:type="dxa"/>
            <w:bottom w:w="0" w:type="dxa"/>
            <w:right w:w="108" w:type="dxa"/>
          </w:tblCellMar>
        </w:tblPrEx>
        <w:trPr>
          <w:trHeight w:val="375" w:hRule="atLeast"/>
          <w:jc w:val="center"/>
        </w:trPr>
        <w:tc>
          <w:tcPr>
            <w:tcW w:w="1839"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r>
              <w:rPr>
                <w:rFonts w:ascii="宋体" w:hAnsi="宋体" w:cs="Arial"/>
                <w:sz w:val="22"/>
                <w:szCs w:val="22"/>
              </w:rPr>
              <w:t>设计制造阶段</w:t>
            </w:r>
          </w:p>
        </w:tc>
        <w:tc>
          <w:tcPr>
            <w:tcW w:w="2698" w:type="dxa"/>
            <w:vMerge w:val="restart"/>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ascii="宋体" w:hAnsi="宋体" w:cs="Arial"/>
                <w:sz w:val="22"/>
                <w:szCs w:val="22"/>
              </w:rPr>
              <w:t>合同</w:t>
            </w:r>
            <w:r>
              <w:rPr>
                <w:rFonts w:ascii="宋体" w:hAnsi="宋体" w:cs="Arial"/>
                <w:sz w:val="22"/>
                <w:szCs w:val="22"/>
              </w:rPr>
              <w:t>签定</w:t>
            </w:r>
            <w:r>
              <w:rPr>
                <w:rFonts w:cs="Arial"/>
                <w:sz w:val="22"/>
                <w:szCs w:val="22"/>
              </w:rPr>
              <w:t>7</w:t>
            </w:r>
            <w:r>
              <w:rPr>
                <w:rFonts w:ascii="宋体" w:hAnsi="宋体" w:cs="Arial"/>
                <w:sz w:val="22"/>
                <w:szCs w:val="22"/>
              </w:rPr>
              <w:t>天内</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1</w:t>
            </w:r>
            <w:r>
              <w:rPr>
                <w:rFonts w:ascii="宋体" w:hAnsi="宋体" w:cs="Arial"/>
                <w:sz w:val="22"/>
                <w:szCs w:val="22"/>
              </w:rPr>
              <w:t>.设备基础外型尺寸图及设备载荷</w:t>
            </w:r>
          </w:p>
        </w:tc>
      </w:tr>
      <w:tr>
        <w:tblPrEx>
          <w:tblCellMar>
            <w:top w:w="0" w:type="dxa"/>
            <w:left w:w="108" w:type="dxa"/>
            <w:bottom w:w="0" w:type="dxa"/>
            <w:right w:w="108" w:type="dxa"/>
          </w:tblCellMar>
        </w:tblPrEx>
        <w:trPr>
          <w:trHeight w:val="473"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2</w:t>
            </w:r>
            <w:r>
              <w:rPr>
                <w:rFonts w:ascii="宋体" w:hAnsi="宋体" w:cs="Arial"/>
                <w:sz w:val="22"/>
                <w:szCs w:val="22"/>
              </w:rPr>
              <w:t>.工艺及</w:t>
            </w:r>
            <w:r>
              <w:rPr>
                <w:rFonts w:hint="eastAsia" w:ascii="宋体" w:hAnsi="宋体" w:cs="Arial"/>
                <w:sz w:val="22"/>
                <w:szCs w:val="22"/>
                <w:lang w:val="en-US" w:eastAsia="zh-CN"/>
              </w:rPr>
              <w:t>设备</w:t>
            </w:r>
            <w:r>
              <w:rPr>
                <w:rFonts w:ascii="宋体" w:hAnsi="宋体" w:cs="Arial"/>
                <w:sz w:val="22"/>
                <w:szCs w:val="22"/>
              </w:rPr>
              <w:t>参数</w:t>
            </w:r>
          </w:p>
        </w:tc>
      </w:tr>
      <w:tr>
        <w:tblPrEx>
          <w:tblCellMar>
            <w:top w:w="0" w:type="dxa"/>
            <w:left w:w="108" w:type="dxa"/>
            <w:bottom w:w="0" w:type="dxa"/>
            <w:right w:w="108" w:type="dxa"/>
          </w:tblCellMar>
        </w:tblPrEx>
        <w:trPr>
          <w:trHeight w:val="387"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restart"/>
            <w:tcBorders>
              <w:top w:val="nil"/>
              <w:left w:val="single" w:color="auto" w:sz="4" w:space="0"/>
              <w:bottom w:val="nil"/>
              <w:right w:val="single" w:color="auto" w:sz="4" w:space="0"/>
            </w:tcBorders>
            <w:noWrap/>
            <w:vAlign w:val="center"/>
          </w:tcPr>
          <w:p>
            <w:pPr>
              <w:spacing w:line="360" w:lineRule="auto"/>
              <w:rPr>
                <w:rFonts w:ascii="宋体" w:hAnsi="宋体" w:cs="Arial"/>
                <w:sz w:val="22"/>
                <w:szCs w:val="22"/>
              </w:rPr>
            </w:pPr>
            <w:r>
              <w:rPr>
                <w:rFonts w:hint="eastAsia" w:ascii="宋体" w:hAnsi="宋体" w:cs="Arial"/>
                <w:sz w:val="22"/>
                <w:szCs w:val="22"/>
              </w:rPr>
              <w:t>合同</w:t>
            </w:r>
            <w:r>
              <w:rPr>
                <w:rFonts w:ascii="宋体" w:hAnsi="宋体" w:cs="Arial"/>
                <w:sz w:val="22"/>
                <w:szCs w:val="22"/>
              </w:rPr>
              <w:t>签定</w:t>
            </w:r>
            <w:r>
              <w:rPr>
                <w:rFonts w:cs="Arial"/>
                <w:sz w:val="22"/>
                <w:szCs w:val="22"/>
              </w:rPr>
              <w:t>3</w:t>
            </w:r>
            <w:r>
              <w:rPr>
                <w:rFonts w:hint="eastAsia" w:cs="Arial"/>
                <w:sz w:val="22"/>
                <w:szCs w:val="22"/>
              </w:rPr>
              <w:t>0</w:t>
            </w:r>
            <w:r>
              <w:rPr>
                <w:rFonts w:ascii="宋体" w:hAnsi="宋体" w:cs="Arial"/>
                <w:sz w:val="22"/>
                <w:szCs w:val="22"/>
              </w:rPr>
              <w:t>天内</w:t>
            </w:r>
          </w:p>
        </w:tc>
        <w:tc>
          <w:tcPr>
            <w:tcW w:w="426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3</w:t>
            </w:r>
            <w:r>
              <w:rPr>
                <w:rFonts w:ascii="宋体" w:hAnsi="宋体" w:cs="Arial"/>
                <w:sz w:val="22"/>
                <w:szCs w:val="22"/>
              </w:rPr>
              <w:t>.控制系统端子图</w:t>
            </w:r>
          </w:p>
        </w:tc>
      </w:tr>
      <w:tr>
        <w:tblPrEx>
          <w:tblCellMar>
            <w:top w:w="0" w:type="dxa"/>
            <w:left w:w="108" w:type="dxa"/>
            <w:bottom w:w="0" w:type="dxa"/>
            <w:right w:w="108" w:type="dxa"/>
          </w:tblCellMar>
        </w:tblPrEx>
        <w:trPr>
          <w:trHeight w:val="420"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4</w:t>
            </w:r>
            <w:r>
              <w:rPr>
                <w:rFonts w:ascii="宋体" w:hAnsi="宋体" w:cs="Arial"/>
                <w:sz w:val="22"/>
                <w:szCs w:val="22"/>
              </w:rPr>
              <w:t>.相关接口图纸</w:t>
            </w:r>
          </w:p>
        </w:tc>
      </w:tr>
      <w:tr>
        <w:tblPrEx>
          <w:tblCellMar>
            <w:top w:w="0" w:type="dxa"/>
            <w:left w:w="108" w:type="dxa"/>
            <w:bottom w:w="0" w:type="dxa"/>
            <w:right w:w="108" w:type="dxa"/>
          </w:tblCellMar>
        </w:tblPrEx>
        <w:trPr>
          <w:trHeight w:val="215" w:hRule="atLeast"/>
          <w:jc w:val="center"/>
        </w:trPr>
        <w:tc>
          <w:tcPr>
            <w:tcW w:w="1839" w:type="dxa"/>
            <w:vMerge w:val="restart"/>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发货阶段</w:t>
            </w:r>
          </w:p>
        </w:tc>
        <w:tc>
          <w:tcPr>
            <w:tcW w:w="2698" w:type="dxa"/>
            <w:vMerge w:val="restart"/>
            <w:tcBorders>
              <w:top w:val="single" w:color="auto" w:sz="4" w:space="0"/>
              <w:left w:val="single" w:color="auto" w:sz="4" w:space="0"/>
              <w:bottom w:val="nil"/>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随货</w:t>
            </w:r>
          </w:p>
        </w:tc>
        <w:tc>
          <w:tcPr>
            <w:tcW w:w="4263" w:type="dxa"/>
            <w:tcBorders>
              <w:top w:val="single" w:color="auto" w:sz="4" w:space="0"/>
              <w:left w:val="nil"/>
              <w:bottom w:val="single" w:color="auto" w:sz="4" w:space="0"/>
              <w:right w:val="single" w:color="auto" w:sz="4" w:space="0"/>
            </w:tcBorders>
            <w:noWrap/>
            <w:vAlign w:val="bottom"/>
          </w:tcPr>
          <w:p>
            <w:pPr>
              <w:spacing w:line="360" w:lineRule="auto"/>
              <w:jc w:val="both"/>
              <w:rPr>
                <w:rFonts w:ascii="宋体" w:hAnsi="宋体" w:cs="Arial"/>
                <w:sz w:val="22"/>
                <w:szCs w:val="22"/>
              </w:rPr>
            </w:pPr>
            <w:r>
              <w:rPr>
                <w:rFonts w:hint="eastAsia" w:cs="Arial"/>
                <w:sz w:val="22"/>
                <w:szCs w:val="22"/>
                <w:lang w:val="en-US" w:eastAsia="zh-CN"/>
              </w:rPr>
              <w:t>5</w:t>
            </w:r>
            <w:r>
              <w:rPr>
                <w:rFonts w:ascii="宋体" w:hAnsi="宋体" w:cs="Arial"/>
                <w:sz w:val="22"/>
                <w:szCs w:val="22"/>
              </w:rPr>
              <w:t>.产品合格证</w:t>
            </w:r>
          </w:p>
        </w:tc>
      </w:tr>
      <w:tr>
        <w:tblPrEx>
          <w:tblCellMar>
            <w:top w:w="0" w:type="dxa"/>
            <w:left w:w="108" w:type="dxa"/>
            <w:bottom w:w="0" w:type="dxa"/>
            <w:right w:w="108" w:type="dxa"/>
          </w:tblCellMar>
        </w:tblPrEx>
        <w:trPr>
          <w:trHeight w:val="308"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single" w:color="auto" w:sz="4" w:space="0"/>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bottom"/>
          </w:tcPr>
          <w:p>
            <w:pPr>
              <w:spacing w:line="360" w:lineRule="auto"/>
              <w:jc w:val="both"/>
              <w:rPr>
                <w:rFonts w:ascii="宋体" w:hAnsi="宋体" w:cs="Arial"/>
                <w:sz w:val="22"/>
                <w:szCs w:val="22"/>
              </w:rPr>
            </w:pPr>
            <w:r>
              <w:rPr>
                <w:rFonts w:hint="eastAsia" w:cs="Arial"/>
                <w:sz w:val="22"/>
                <w:szCs w:val="22"/>
                <w:lang w:val="en-US" w:eastAsia="zh-CN"/>
              </w:rPr>
              <w:t>6</w:t>
            </w:r>
            <w:r>
              <w:rPr>
                <w:rFonts w:ascii="宋体" w:hAnsi="宋体" w:cs="Arial"/>
                <w:sz w:val="22"/>
                <w:szCs w:val="22"/>
              </w:rPr>
              <w:t>.关键件合格证明</w:t>
            </w:r>
          </w:p>
        </w:tc>
      </w:tr>
      <w:tr>
        <w:tblPrEx>
          <w:tblCellMar>
            <w:top w:w="0" w:type="dxa"/>
            <w:left w:w="108" w:type="dxa"/>
            <w:bottom w:w="0" w:type="dxa"/>
            <w:right w:w="108" w:type="dxa"/>
          </w:tblCellMar>
        </w:tblPrEx>
        <w:trPr>
          <w:trHeight w:val="375" w:hRule="atLeast"/>
          <w:jc w:val="center"/>
        </w:trPr>
        <w:tc>
          <w:tcPr>
            <w:tcW w:w="1839"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安装阶段</w:t>
            </w:r>
          </w:p>
        </w:tc>
        <w:tc>
          <w:tcPr>
            <w:tcW w:w="2698"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安装前</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7</w:t>
            </w:r>
            <w:r>
              <w:rPr>
                <w:rFonts w:ascii="宋体" w:hAnsi="宋体" w:cs="Arial"/>
                <w:sz w:val="22"/>
                <w:szCs w:val="22"/>
              </w:rPr>
              <w:t>.施工图(机械\电气)</w:t>
            </w:r>
          </w:p>
        </w:tc>
      </w:tr>
      <w:tr>
        <w:tblPrEx>
          <w:tblCellMar>
            <w:top w:w="0" w:type="dxa"/>
            <w:left w:w="108" w:type="dxa"/>
            <w:bottom w:w="0" w:type="dxa"/>
            <w:right w:w="108" w:type="dxa"/>
          </w:tblCellMar>
        </w:tblPrEx>
        <w:trPr>
          <w:trHeight w:val="375" w:hRule="atLeast"/>
          <w:jc w:val="center"/>
        </w:trPr>
        <w:tc>
          <w:tcPr>
            <w:tcW w:w="1839"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调试阶段</w:t>
            </w:r>
          </w:p>
        </w:tc>
        <w:tc>
          <w:tcPr>
            <w:tcW w:w="2698"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调试后</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8</w:t>
            </w:r>
            <w:r>
              <w:rPr>
                <w:rFonts w:ascii="宋体" w:hAnsi="宋体" w:cs="Arial"/>
                <w:sz w:val="22"/>
                <w:szCs w:val="22"/>
              </w:rPr>
              <w:t>.操作维护手册</w:t>
            </w:r>
          </w:p>
        </w:tc>
      </w:tr>
    </w:tbl>
    <w:p>
      <w:pPr>
        <w:pStyle w:val="2"/>
        <w:keepLines w:val="0"/>
        <w:widowControl/>
        <w:numPr>
          <w:ilvl w:val="0"/>
          <w:numId w:val="0"/>
        </w:numPr>
        <w:tabs>
          <w:tab w:val="left" w:pos="420"/>
        </w:tabs>
        <w:spacing w:before="0" w:line="360" w:lineRule="auto"/>
        <w:ind w:leftChars="0"/>
        <w:rPr>
          <w:rFonts w:hint="eastAsia" w:ascii="黑体" w:hAnsi="宋体" w:cs="Arial"/>
          <w:b w:val="0"/>
          <w:sz w:val="28"/>
          <w:szCs w:val="28"/>
          <w:lang w:val="en-US" w:eastAsia="zh-CN"/>
        </w:rPr>
      </w:pPr>
      <w:bookmarkStart w:id="54" w:name="_Toc463657515"/>
      <w:bookmarkStart w:id="55" w:name="_Toc187483831"/>
      <w:bookmarkStart w:id="56" w:name="_Toc287280883"/>
      <w:bookmarkStart w:id="57" w:name="_Toc464230168"/>
      <w:bookmarkStart w:id="58" w:name="_Toc187480646"/>
      <w:bookmarkStart w:id="59" w:name="_Toc224457631"/>
      <w:bookmarkStart w:id="60" w:name="_Toc462415868"/>
      <w:bookmarkStart w:id="61" w:name="_Toc187231808"/>
    </w:p>
    <w:p>
      <w:pPr>
        <w:pStyle w:val="2"/>
        <w:keepLines w:val="0"/>
        <w:widowControl/>
        <w:numPr>
          <w:ilvl w:val="0"/>
          <w:numId w:val="0"/>
        </w:numPr>
        <w:tabs>
          <w:tab w:val="left" w:pos="420"/>
        </w:tabs>
        <w:spacing w:before="0" w:line="240" w:lineRule="auto"/>
        <w:ind w:leftChars="0"/>
        <w:jc w:val="both"/>
        <w:rPr>
          <w:rFonts w:ascii="黑体" w:hAnsi="宋体" w:cs="Arial"/>
          <w:b/>
          <w:bCs w:val="0"/>
          <w:sz w:val="28"/>
          <w:szCs w:val="28"/>
        </w:rPr>
      </w:pPr>
      <w:r>
        <w:rPr>
          <w:rFonts w:hint="eastAsia" w:ascii="黑体" w:hAnsi="宋体" w:cs="Arial"/>
          <w:b/>
          <w:bCs w:val="0"/>
          <w:sz w:val="28"/>
          <w:szCs w:val="28"/>
          <w:lang w:val="en-US" w:eastAsia="zh-CN"/>
        </w:rPr>
        <w:t>6.</w:t>
      </w:r>
      <w:r>
        <w:rPr>
          <w:rFonts w:ascii="黑体" w:hAnsi="宋体" w:cs="Arial"/>
          <w:b/>
          <w:bCs w:val="0"/>
          <w:sz w:val="28"/>
          <w:szCs w:val="28"/>
        </w:rPr>
        <w:t>质量保证及考核试验</w:t>
      </w:r>
      <w:bookmarkEnd w:id="54"/>
      <w:bookmarkEnd w:id="55"/>
      <w:bookmarkEnd w:id="56"/>
      <w:bookmarkEnd w:id="57"/>
      <w:bookmarkEnd w:id="58"/>
      <w:bookmarkEnd w:id="59"/>
      <w:bookmarkEnd w:id="60"/>
      <w:bookmarkEnd w:id="61"/>
    </w:p>
    <w:p>
      <w:pPr>
        <w:keepNext/>
        <w:spacing w:before="312" w:beforeLines="100" w:after="156" w:afterLines="50" w:line="240" w:lineRule="auto"/>
        <w:jc w:val="left"/>
        <w:outlineLvl w:val="1"/>
        <w:rPr>
          <w:rFonts w:ascii="Arial" w:hAnsi="Arial" w:eastAsia="黑体" w:cs="Arial"/>
          <w:bCs/>
          <w:sz w:val="24"/>
        </w:rPr>
      </w:pPr>
      <w:bookmarkStart w:id="62" w:name="_Toc463657516"/>
      <w:bookmarkStart w:id="63" w:name="_Toc464221012"/>
      <w:bookmarkStart w:id="64" w:name="_Toc287280884"/>
      <w:bookmarkStart w:id="65" w:name="_Toc462415869"/>
      <w:r>
        <w:rPr>
          <w:rFonts w:hint="eastAsia" w:ascii="Arial" w:hAnsi="Arial" w:eastAsia="黑体" w:cs="Arial"/>
          <w:bCs/>
          <w:sz w:val="24"/>
          <w:lang w:val="en-US" w:eastAsia="zh-CN"/>
        </w:rPr>
        <w:t>6.1</w:t>
      </w:r>
      <w:r>
        <w:rPr>
          <w:rFonts w:ascii="Arial" w:hAnsi="Arial" w:eastAsia="黑体" w:cs="Arial"/>
          <w:bCs/>
          <w:sz w:val="24"/>
        </w:rPr>
        <w:t>规程、规范和标准</w:t>
      </w:r>
      <w:bookmarkEnd w:id="62"/>
      <w:bookmarkEnd w:id="63"/>
      <w:bookmarkEnd w:id="64"/>
      <w:bookmarkEnd w:id="65"/>
    </w:p>
    <w:p>
      <w:pPr>
        <w:spacing w:line="360" w:lineRule="auto"/>
        <w:ind w:firstLine="480" w:firstLineChars="200"/>
        <w:rPr>
          <w:rFonts w:ascii="宋体" w:hAnsi="宋体" w:cs="Arial"/>
          <w:sz w:val="24"/>
        </w:rPr>
      </w:pPr>
      <w:r>
        <w:rPr>
          <w:rFonts w:ascii="宋体" w:hAnsi="宋体" w:cs="Arial"/>
          <w:sz w:val="24"/>
        </w:rPr>
        <w:t>系统国内供货的部件的设计和制造，符合现行使用的有关的国家标准及部颁标准，这些标准和规范(不限于)至少包括：</w:t>
      </w:r>
    </w:p>
    <w:tbl>
      <w:tblPr>
        <w:tblStyle w:val="15"/>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080" w:type="dxa"/>
            <w:gridSpan w:val="2"/>
            <w:noWrap w:val="0"/>
            <w:vAlign w:val="bottom"/>
          </w:tcPr>
          <w:p>
            <w:pPr>
              <w:spacing w:line="360" w:lineRule="auto"/>
              <w:jc w:val="both"/>
              <w:rPr>
                <w:rFonts w:hint="eastAsia" w:ascii="宋体" w:hAnsi="宋体" w:cs="宋体"/>
                <w:sz w:val="24"/>
                <w:szCs w:val="24"/>
              </w:rPr>
            </w:pPr>
            <w:r>
              <w:rPr>
                <w:rFonts w:hint="eastAsia" w:ascii="宋体" w:hAnsi="宋体" w:cs="宋体"/>
                <w:sz w:val="24"/>
                <w:szCs w:val="24"/>
              </w:rPr>
              <w:t>制造标准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GB14881-2013</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NB/T47003.1-2009</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《钢制焊接常压容器》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NB/T47015-2011</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《压力容器焊接规程》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HG/T20583-2011</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《承压设备用焊接材料定货技术条件》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GB/T4237-2015</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color w:val="000000"/>
                <w:sz w:val="21"/>
                <w:szCs w:val="21"/>
              </w:rPr>
              <w:t>《不锈钢热轧钢板和钢带》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GB50017-2017 </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《钢结构设计规范》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GB12348—2008 </w:t>
            </w:r>
          </w:p>
        </w:tc>
        <w:tc>
          <w:tcPr>
            <w:tcW w:w="6353" w:type="dxa"/>
            <w:noWrap w:val="0"/>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72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GB/T985.1-2008</w:t>
            </w:r>
          </w:p>
        </w:tc>
        <w:tc>
          <w:tcPr>
            <w:tcW w:w="6353" w:type="dxa"/>
            <w:noWrap w:val="0"/>
            <w:vAlign w:val="bottom"/>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气焊、焊条电弧焊、气体保护焊和高能束焊的推荐坡口</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727" w:type="dxa"/>
            <w:noWrap w:val="0"/>
            <w:vAlign w:val="bottom"/>
          </w:tcPr>
          <w:p>
            <w:pPr>
              <w:spacing w:line="360" w:lineRule="auto"/>
              <w:jc w:val="both"/>
              <w:rPr>
                <w:rFonts w:hint="default" w:ascii="宋体" w:hAnsi="宋体" w:eastAsia="宋体" w:cs="宋体"/>
                <w:b w:val="0"/>
                <w:bCs w:val="0"/>
                <w:sz w:val="21"/>
                <w:szCs w:val="21"/>
                <w:lang w:val="en-US" w:eastAsia="zh-CN"/>
              </w:rPr>
            </w:pPr>
            <w:r>
              <w:rPr>
                <w:rFonts w:hint="eastAsia" w:ascii="宋体" w:hAnsi="宋体"/>
                <w:color w:val="000000"/>
                <w:sz w:val="21"/>
                <w:szCs w:val="21"/>
              </w:rPr>
              <w:t>GB/T14976-2012</w:t>
            </w:r>
          </w:p>
        </w:tc>
        <w:tc>
          <w:tcPr>
            <w:tcW w:w="6353" w:type="dxa"/>
            <w:noWrap w:val="0"/>
            <w:vAlign w:val="bottom"/>
          </w:tcPr>
          <w:p>
            <w:pPr>
              <w:spacing w:line="360" w:lineRule="auto"/>
              <w:jc w:val="both"/>
              <w:rPr>
                <w:rFonts w:hint="eastAsia" w:ascii="宋体" w:hAnsi="宋体" w:eastAsia="宋体" w:cs="宋体"/>
                <w:b w:val="0"/>
                <w:bCs w:val="0"/>
                <w:sz w:val="21"/>
                <w:szCs w:val="21"/>
                <w:lang w:eastAsia="zh-CN"/>
              </w:rPr>
            </w:pPr>
            <w:r>
              <w:rPr>
                <w:rFonts w:hint="eastAsia" w:ascii="宋体" w:hAnsi="宋体"/>
                <w:color w:val="000000"/>
                <w:sz w:val="21"/>
                <w:szCs w:val="21"/>
              </w:rPr>
              <w:t>《流体输送用不锈钢无缝钢管》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727" w:type="dxa"/>
            <w:noWrap w:val="0"/>
            <w:vAlign w:val="bottom"/>
          </w:tcPr>
          <w:p>
            <w:pPr>
              <w:spacing w:line="360" w:lineRule="auto"/>
              <w:jc w:val="both"/>
              <w:rPr>
                <w:rFonts w:hint="eastAsia" w:ascii="宋体" w:hAnsi="宋体" w:eastAsia="宋体" w:cs="宋体"/>
                <w:b w:val="0"/>
                <w:bCs w:val="0"/>
                <w:sz w:val="21"/>
                <w:szCs w:val="21"/>
              </w:rPr>
            </w:pPr>
            <w:r>
              <w:rPr>
                <w:rFonts w:hint="eastAsia" w:ascii="宋体" w:hAnsi="宋体"/>
                <w:color w:val="000000"/>
                <w:sz w:val="21"/>
                <w:szCs w:val="21"/>
              </w:rPr>
              <w:t>HG/T20592-2009</w:t>
            </w:r>
          </w:p>
        </w:tc>
        <w:tc>
          <w:tcPr>
            <w:tcW w:w="6353" w:type="dxa"/>
            <w:noWrap w:val="0"/>
            <w:vAlign w:val="bottom"/>
          </w:tcPr>
          <w:p>
            <w:pPr>
              <w:spacing w:line="360" w:lineRule="auto"/>
              <w:jc w:val="both"/>
              <w:rPr>
                <w:rFonts w:hint="eastAsia" w:ascii="宋体" w:hAnsi="宋体" w:eastAsia="宋体" w:cs="宋体"/>
                <w:b w:val="0"/>
                <w:bCs w:val="0"/>
                <w:sz w:val="21"/>
                <w:szCs w:val="21"/>
                <w:lang w:eastAsia="zh-CN"/>
              </w:rPr>
            </w:pPr>
            <w:r>
              <w:rPr>
                <w:rFonts w:hint="eastAsia" w:ascii="宋体" w:hAnsi="宋体"/>
                <w:color w:val="000000"/>
                <w:sz w:val="21"/>
                <w:szCs w:val="21"/>
              </w:rPr>
              <w:t>《钢制管法兰》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727" w:type="dxa"/>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0"/>
              <w:jc w:val="both"/>
              <w:rPr>
                <w:rFonts w:hint="eastAsia" w:ascii="宋体" w:hAnsi="宋体" w:eastAsia="宋体" w:cs="宋体"/>
                <w:b w:val="0"/>
                <w:bCs w:val="0"/>
                <w:sz w:val="21"/>
                <w:szCs w:val="21"/>
              </w:rPr>
            </w:pPr>
          </w:p>
        </w:tc>
        <w:tc>
          <w:tcPr>
            <w:tcW w:w="6353" w:type="dxa"/>
            <w:noWrap w:val="0"/>
            <w:vAlign w:val="bottom"/>
          </w:tcPr>
          <w:p>
            <w:pPr>
              <w:spacing w:line="360" w:lineRule="auto"/>
              <w:jc w:val="both"/>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727" w:type="dxa"/>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0"/>
              <w:jc w:val="both"/>
              <w:rPr>
                <w:rFonts w:hint="eastAsia" w:ascii="宋体" w:hAnsi="宋体" w:eastAsia="宋体" w:cs="宋体"/>
                <w:b w:val="0"/>
                <w:bCs w:val="0"/>
                <w:i w:val="0"/>
                <w:iCs w:val="0"/>
                <w:caps w:val="0"/>
                <w:color w:val="000000"/>
                <w:spacing w:val="0"/>
                <w:sz w:val="21"/>
                <w:szCs w:val="21"/>
              </w:rPr>
            </w:pPr>
          </w:p>
        </w:tc>
        <w:tc>
          <w:tcPr>
            <w:tcW w:w="6353" w:type="dxa"/>
            <w:noWrap w:val="0"/>
            <w:vAlign w:val="bottom"/>
          </w:tcPr>
          <w:p>
            <w:pPr>
              <w:spacing w:line="360" w:lineRule="auto"/>
              <w:jc w:val="both"/>
              <w:rPr>
                <w:rFonts w:hint="eastAsia" w:ascii="宋体" w:hAnsi="宋体" w:eastAsia="宋体" w:cs="宋体"/>
                <w:b w:val="0"/>
                <w:bCs w:val="0"/>
                <w:sz w:val="21"/>
                <w:szCs w:val="21"/>
                <w:lang w:val="en-US" w:eastAsia="zh-CN"/>
              </w:rPr>
            </w:pPr>
          </w:p>
        </w:tc>
      </w:tr>
    </w:tbl>
    <w:p>
      <w:pPr>
        <w:keepNext/>
        <w:spacing w:before="312" w:beforeLines="100" w:after="156" w:afterLines="50"/>
        <w:jc w:val="left"/>
        <w:outlineLvl w:val="1"/>
        <w:rPr>
          <w:rFonts w:ascii="Arial" w:hAnsi="Arial" w:eastAsia="黑体" w:cs="Arial"/>
          <w:bCs/>
          <w:sz w:val="24"/>
        </w:rPr>
      </w:pPr>
      <w:bookmarkStart w:id="66" w:name="_Toc462415871"/>
      <w:bookmarkStart w:id="67" w:name="_Toc464221014"/>
      <w:bookmarkStart w:id="68" w:name="_Toc463657518"/>
      <w:bookmarkStart w:id="69" w:name="_Toc287280886"/>
      <w:r>
        <w:rPr>
          <w:rFonts w:hint="eastAsia" w:ascii="Arial" w:hAnsi="Arial" w:eastAsia="黑体" w:cs="Arial"/>
          <w:bCs/>
          <w:sz w:val="24"/>
          <w:lang w:val="en-US" w:eastAsia="zh-CN"/>
        </w:rPr>
        <w:t>6.2</w:t>
      </w:r>
      <w:r>
        <w:rPr>
          <w:rFonts w:ascii="Arial" w:hAnsi="Arial" w:eastAsia="黑体" w:cs="Arial"/>
          <w:bCs/>
          <w:sz w:val="24"/>
        </w:rPr>
        <w:t>质保期</w:t>
      </w:r>
      <w:bookmarkEnd w:id="66"/>
      <w:bookmarkEnd w:id="67"/>
      <w:bookmarkEnd w:id="68"/>
      <w:bookmarkEnd w:id="69"/>
    </w:p>
    <w:p>
      <w:pPr>
        <w:spacing w:line="360" w:lineRule="auto"/>
        <w:ind w:left="0" w:leftChars="0" w:firstLine="480" w:firstLineChars="200"/>
        <w:rPr>
          <w:rFonts w:hint="eastAsia" w:ascii="宋体" w:hAnsi="宋体" w:eastAsia="宋体" w:cs="Arial"/>
          <w:sz w:val="24"/>
          <w:lang w:eastAsia="zh-CN"/>
        </w:rPr>
      </w:pPr>
      <w:r>
        <w:rPr>
          <w:rFonts w:hint="eastAsia" w:ascii="宋体" w:hAnsi="宋体" w:cs="Arial"/>
          <w:sz w:val="24"/>
        </w:rPr>
        <w:t>设备调试</w:t>
      </w:r>
      <w:r>
        <w:rPr>
          <w:rFonts w:ascii="宋体" w:hAnsi="宋体" w:cs="Arial"/>
          <w:sz w:val="24"/>
        </w:rPr>
        <w:t>验收合格后的</w:t>
      </w:r>
      <w:r>
        <w:rPr>
          <w:rFonts w:cs="Arial"/>
          <w:sz w:val="24"/>
        </w:rPr>
        <w:t>1</w:t>
      </w:r>
      <w:r>
        <w:rPr>
          <w:rFonts w:ascii="宋体" w:hAnsi="宋体" w:cs="Arial"/>
          <w:sz w:val="24"/>
        </w:rPr>
        <w:t>年</w:t>
      </w:r>
      <w:r>
        <w:rPr>
          <w:rFonts w:hint="eastAsia" w:ascii="宋体" w:hAnsi="宋体" w:cs="Arial"/>
          <w:sz w:val="24"/>
          <w:lang w:eastAsia="zh-CN"/>
        </w:rPr>
        <w:t>。</w:t>
      </w:r>
    </w:p>
    <w:p>
      <w:pPr>
        <w:keepNext/>
        <w:spacing w:before="312" w:beforeLines="100" w:after="156" w:afterLines="50"/>
        <w:jc w:val="left"/>
        <w:outlineLvl w:val="1"/>
        <w:rPr>
          <w:rFonts w:ascii="Arial" w:hAnsi="Arial" w:eastAsia="黑体" w:cs="Arial"/>
          <w:bCs/>
          <w:sz w:val="24"/>
        </w:rPr>
      </w:pPr>
      <w:bookmarkStart w:id="70" w:name="_Toc463657519"/>
      <w:bookmarkStart w:id="71" w:name="_Toc462415872"/>
      <w:bookmarkStart w:id="72" w:name="_Toc464221015"/>
      <w:bookmarkStart w:id="73" w:name="_Toc287280887"/>
      <w:r>
        <w:rPr>
          <w:rFonts w:hint="eastAsia" w:ascii="Arial" w:hAnsi="Arial" w:eastAsia="黑体" w:cs="Arial"/>
          <w:bCs/>
          <w:sz w:val="24"/>
          <w:lang w:val="en-US" w:eastAsia="zh-CN"/>
        </w:rPr>
        <w:t>6.3制作材料及采购</w:t>
      </w:r>
      <w:r>
        <w:rPr>
          <w:rFonts w:ascii="Arial" w:hAnsi="Arial" w:eastAsia="黑体" w:cs="Arial"/>
          <w:bCs/>
          <w:sz w:val="24"/>
        </w:rPr>
        <w:t>部件</w:t>
      </w:r>
      <w:r>
        <w:rPr>
          <w:rFonts w:hint="eastAsia" w:ascii="Arial" w:hAnsi="Arial" w:eastAsia="黑体" w:cs="Arial"/>
          <w:bCs/>
          <w:sz w:val="24"/>
          <w:lang w:val="en-US" w:eastAsia="zh-CN"/>
        </w:rPr>
        <w:t>的</w:t>
      </w:r>
      <w:r>
        <w:rPr>
          <w:rFonts w:ascii="Arial" w:hAnsi="Arial" w:eastAsia="黑体" w:cs="Arial"/>
          <w:bCs/>
          <w:sz w:val="24"/>
        </w:rPr>
        <w:t>性能保证</w:t>
      </w:r>
      <w:bookmarkEnd w:id="70"/>
      <w:bookmarkEnd w:id="71"/>
      <w:bookmarkEnd w:id="72"/>
      <w:bookmarkEnd w:id="73"/>
    </w:p>
    <w:p>
      <w:pPr>
        <w:numPr>
          <w:ilvl w:val="0"/>
          <w:numId w:val="2"/>
        </w:numPr>
        <w:spacing w:line="360" w:lineRule="auto"/>
        <w:ind w:left="480" w:leftChars="0"/>
        <w:rPr>
          <w:rFonts w:ascii="宋体" w:hAnsi="宋体"/>
          <w:sz w:val="24"/>
        </w:rPr>
      </w:pPr>
      <w:r>
        <w:rPr>
          <w:rFonts w:hint="eastAsia" w:ascii="宋体" w:hAnsi="宋体"/>
          <w:sz w:val="24"/>
        </w:rPr>
        <w:t>成套系统设备</w:t>
      </w:r>
      <w:r>
        <w:rPr>
          <w:rFonts w:hint="eastAsia" w:ascii="宋体" w:hAnsi="宋体"/>
          <w:sz w:val="24"/>
          <w:lang w:val="en-US" w:eastAsia="zh-CN"/>
        </w:rPr>
        <w:t>及</w:t>
      </w:r>
      <w:r>
        <w:rPr>
          <w:rFonts w:hint="eastAsia" w:ascii="宋体" w:hAnsi="宋体"/>
          <w:sz w:val="24"/>
        </w:rPr>
        <w:t>主体使用寿命不少于</w:t>
      </w:r>
      <w:r>
        <w:rPr>
          <w:rFonts w:hint="eastAsia" w:ascii="宋体" w:hAnsi="宋体"/>
          <w:sz w:val="24"/>
          <w:lang w:val="en-US" w:eastAsia="zh-CN"/>
        </w:rPr>
        <w:t>10</w:t>
      </w:r>
      <w:r>
        <w:rPr>
          <w:rFonts w:hint="eastAsia" w:ascii="宋体" w:hAnsi="宋体"/>
          <w:sz w:val="24"/>
        </w:rPr>
        <w:t>年。</w:t>
      </w:r>
    </w:p>
    <w:p>
      <w:pPr>
        <w:numPr>
          <w:ilvl w:val="0"/>
          <w:numId w:val="2"/>
        </w:numPr>
        <w:spacing w:line="360" w:lineRule="auto"/>
        <w:ind w:left="480" w:leftChars="0"/>
        <w:rPr>
          <w:rFonts w:ascii="宋体" w:hAnsi="宋体"/>
          <w:sz w:val="24"/>
        </w:rPr>
      </w:pPr>
      <w:r>
        <w:rPr>
          <w:rFonts w:hint="eastAsia" w:ascii="宋体" w:hAnsi="宋体"/>
          <w:sz w:val="24"/>
          <w:lang w:val="en-US" w:eastAsia="zh-CN"/>
        </w:rPr>
        <w:t>材料采购符合</w:t>
      </w:r>
      <w:r>
        <w:rPr>
          <w:rFonts w:hint="eastAsia" w:ascii="宋体" w:hAnsi="宋体"/>
          <w:kern w:val="0"/>
          <w:sz w:val="24"/>
          <w:szCs w:val="24"/>
        </w:rPr>
        <w:t>GB/T4237-2015《不锈钢热轧钢板和钢带》的要求，购货渠道正规，材料生产厂家要求宝钢与太钢、张浦或优于上述三家的知名厂家</w:t>
      </w:r>
    </w:p>
    <w:p>
      <w:pPr>
        <w:numPr>
          <w:ilvl w:val="0"/>
          <w:numId w:val="2"/>
        </w:numPr>
        <w:spacing w:line="360" w:lineRule="auto"/>
        <w:ind w:left="480" w:leftChars="0"/>
        <w:rPr>
          <w:rFonts w:ascii="宋体" w:hAnsi="宋体"/>
          <w:sz w:val="24"/>
        </w:rPr>
      </w:pPr>
      <w:r>
        <w:rPr>
          <w:rFonts w:hint="eastAsia" w:ascii="宋体" w:hAnsi="宋体"/>
          <w:sz w:val="24"/>
          <w:szCs w:val="24"/>
        </w:rPr>
        <w:t>料仓制作尺寸准确，符合图纸要求，内外表面光洁干净，</w:t>
      </w:r>
      <w:r>
        <w:rPr>
          <w:rFonts w:hint="eastAsia" w:ascii="宋体" w:hAnsi="宋体"/>
          <w:sz w:val="24"/>
          <w:szCs w:val="24"/>
          <w:lang w:val="en-US" w:eastAsia="zh-CN"/>
        </w:rPr>
        <w:t>容器内部需镜面抛光，</w:t>
      </w:r>
      <w:r>
        <w:rPr>
          <w:rFonts w:hint="eastAsia" w:ascii="宋体" w:hAnsi="宋体"/>
          <w:sz w:val="24"/>
          <w:szCs w:val="24"/>
        </w:rPr>
        <w:t>禁止出现油污、铁锈、焊渣等，符合</w:t>
      </w:r>
      <w:r>
        <w:rPr>
          <w:rFonts w:hint="eastAsia" w:ascii="宋体" w:hAnsi="宋体"/>
          <w:kern w:val="0"/>
          <w:sz w:val="24"/>
          <w:szCs w:val="24"/>
        </w:rPr>
        <w:t>GB14881-2013《食品生产通用卫生规范》的要求。</w:t>
      </w:r>
    </w:p>
    <w:p>
      <w:pPr>
        <w:numPr>
          <w:ilvl w:val="0"/>
          <w:numId w:val="2"/>
        </w:numPr>
        <w:spacing w:line="360" w:lineRule="auto"/>
        <w:ind w:left="480" w:leftChars="0"/>
        <w:rPr>
          <w:rFonts w:ascii="宋体" w:hAnsi="宋体"/>
          <w:sz w:val="24"/>
        </w:rPr>
      </w:pPr>
      <w:r>
        <w:rPr>
          <w:rFonts w:hint="eastAsia" w:ascii="宋体" w:hAnsi="宋体"/>
          <w:sz w:val="24"/>
          <w:lang w:val="en-US" w:eastAsia="zh-CN"/>
        </w:rPr>
        <w:t>设备安装</w:t>
      </w:r>
      <w:r>
        <w:rPr>
          <w:rFonts w:hint="eastAsia" w:ascii="宋体" w:hAnsi="宋体"/>
          <w:sz w:val="24"/>
          <w:szCs w:val="24"/>
        </w:rPr>
        <w:t>中要预留可调节的尺寸，现场焊接的焊缝要打磨光滑，料仓要以干净光洁的状态交付使用，而且在使用过程中，质保期壹年内料仓不能出现锈蚀</w:t>
      </w:r>
      <w:r>
        <w:rPr>
          <w:rFonts w:hint="eastAsia" w:ascii="宋体" w:hAnsi="宋体"/>
          <w:sz w:val="24"/>
          <w:lang w:val="en-US" w:eastAsia="zh-CN"/>
        </w:rPr>
        <w:t>。</w:t>
      </w:r>
    </w:p>
    <w:p>
      <w:pPr>
        <w:keepNext/>
        <w:spacing w:before="312" w:beforeLines="100" w:after="156" w:afterLines="50"/>
        <w:jc w:val="left"/>
        <w:outlineLvl w:val="1"/>
        <w:rPr>
          <w:rFonts w:ascii="Arial" w:hAnsi="Arial" w:eastAsia="黑体" w:cs="Arial"/>
          <w:bCs/>
          <w:sz w:val="24"/>
        </w:rPr>
      </w:pPr>
      <w:bookmarkStart w:id="74" w:name="_Toc464221016"/>
      <w:bookmarkStart w:id="75" w:name="_Toc287280888"/>
      <w:bookmarkStart w:id="76" w:name="_Toc462415873"/>
      <w:bookmarkStart w:id="77" w:name="_Toc463657520"/>
      <w:r>
        <w:rPr>
          <w:rFonts w:hint="eastAsia" w:ascii="Arial" w:hAnsi="Arial" w:eastAsia="黑体" w:cs="Arial"/>
          <w:bCs/>
          <w:sz w:val="24"/>
          <w:lang w:val="en-US" w:eastAsia="zh-CN"/>
        </w:rPr>
        <w:t>6.4</w:t>
      </w:r>
      <w:r>
        <w:rPr>
          <w:rFonts w:ascii="Arial" w:hAnsi="Arial" w:eastAsia="黑体" w:cs="Arial"/>
          <w:bCs/>
          <w:sz w:val="24"/>
        </w:rPr>
        <w:t>质量保证</w:t>
      </w:r>
      <w:bookmarkEnd w:id="74"/>
      <w:bookmarkEnd w:id="75"/>
      <w:bookmarkEnd w:id="76"/>
      <w:bookmarkEnd w:id="77"/>
    </w:p>
    <w:p>
      <w:pPr>
        <w:spacing w:line="360" w:lineRule="auto"/>
        <w:ind w:firstLine="480" w:firstLineChars="200"/>
        <w:rPr>
          <w:rFonts w:ascii="宋体" w:hAnsi="宋体"/>
          <w:kern w:val="0"/>
          <w:sz w:val="24"/>
          <w:szCs w:val="24"/>
        </w:rPr>
      </w:pPr>
      <w:r>
        <w:rPr>
          <w:rFonts w:hint="eastAsia" w:ascii="宋体" w:hAnsi="宋体" w:cs="Arial"/>
          <w:sz w:val="24"/>
          <w:lang w:val="en-US" w:eastAsia="zh-CN"/>
        </w:rPr>
        <w:t>1</w:t>
      </w:r>
      <w:r>
        <w:rPr>
          <w:rFonts w:hint="eastAsia" w:ascii="宋体" w:hAnsi="宋体" w:cs="Arial"/>
          <w:sz w:val="24"/>
        </w:rPr>
        <w:t>）</w:t>
      </w:r>
      <w:r>
        <w:rPr>
          <w:rFonts w:hint="eastAsia" w:ascii="宋体" w:hAnsi="宋体"/>
          <w:sz w:val="24"/>
          <w:szCs w:val="24"/>
        </w:rPr>
        <w:t>料仓</w:t>
      </w:r>
      <w:r>
        <w:rPr>
          <w:rFonts w:hint="eastAsia" w:ascii="宋体" w:hAnsi="宋体"/>
          <w:sz w:val="24"/>
          <w:szCs w:val="24"/>
          <w:lang w:val="en-US" w:eastAsia="zh-CN"/>
        </w:rPr>
        <w:t>主体</w:t>
      </w:r>
      <w:r>
        <w:rPr>
          <w:rFonts w:hint="eastAsia" w:ascii="宋体" w:hAnsi="宋体"/>
          <w:sz w:val="24"/>
          <w:szCs w:val="24"/>
        </w:rPr>
        <w:t>材料不锈钢板316L，符合</w:t>
      </w:r>
      <w:r>
        <w:rPr>
          <w:rFonts w:hint="eastAsia" w:ascii="宋体" w:hAnsi="宋体"/>
          <w:kern w:val="0"/>
          <w:sz w:val="24"/>
          <w:szCs w:val="24"/>
        </w:rPr>
        <w:t>GB/T4237-2015《不锈钢热轧钢板和钢带》的要求。材料验收必须有材料生产厂家出具的质量证明书原件或盖有材料供应单位检验公章和经办人章的有效复印件，质量证明书内容齐全、清晰且炉批号、钢号及规格、数量、几何尺寸与实物相符。</w:t>
      </w:r>
    </w:p>
    <w:p>
      <w:pPr>
        <w:spacing w:line="360" w:lineRule="auto"/>
        <w:ind w:firstLine="480" w:firstLineChars="200"/>
        <w:rPr>
          <w:rFonts w:ascii="宋体" w:hAnsi="宋体" w:cs="Arial"/>
          <w:sz w:val="24"/>
        </w:rPr>
      </w:pPr>
      <w:r>
        <w:rPr>
          <w:rFonts w:hint="eastAsia" w:ascii="宋体" w:hAnsi="宋体" w:cs="Arial"/>
          <w:sz w:val="24"/>
          <w:lang w:val="en-US" w:eastAsia="zh-CN"/>
        </w:rPr>
        <w:t>2</w:t>
      </w:r>
      <w:r>
        <w:rPr>
          <w:rFonts w:hint="eastAsia" w:ascii="宋体" w:hAnsi="宋体" w:cs="Arial"/>
          <w:sz w:val="24"/>
        </w:rPr>
        <w:t>）供</w:t>
      </w:r>
      <w:r>
        <w:rPr>
          <w:rFonts w:ascii="宋体" w:hAnsi="宋体" w:cs="Arial"/>
          <w:sz w:val="24"/>
        </w:rPr>
        <w:t>方将严格遵照</w:t>
      </w:r>
      <w:r>
        <w:rPr>
          <w:rFonts w:cs="Arial"/>
          <w:sz w:val="24"/>
        </w:rPr>
        <w:t>GB</w:t>
      </w:r>
      <w:r>
        <w:rPr>
          <w:rFonts w:ascii="宋体" w:hAnsi="宋体" w:cs="Arial"/>
          <w:sz w:val="24"/>
        </w:rPr>
        <w:t>/</w:t>
      </w:r>
      <w:r>
        <w:rPr>
          <w:rFonts w:cs="Arial"/>
          <w:sz w:val="24"/>
        </w:rPr>
        <w:t>T</w:t>
      </w:r>
      <w:r>
        <w:rPr>
          <w:rFonts w:hint="eastAsia" w:cs="Arial"/>
          <w:sz w:val="24"/>
          <w:lang w:eastAsia="zh-CN"/>
        </w:rPr>
        <w:t>—</w:t>
      </w:r>
      <w:r>
        <w:rPr>
          <w:rFonts w:cs="Arial"/>
          <w:sz w:val="24"/>
        </w:rPr>
        <w:t>19000</w:t>
      </w:r>
      <w:r>
        <w:rPr>
          <w:rFonts w:ascii="宋体" w:hAnsi="宋体" w:cs="Arial"/>
          <w:sz w:val="24"/>
        </w:rPr>
        <w:t>设计、开发、生产、安装和服务的质量保证模式及</w:t>
      </w:r>
      <w:r>
        <w:rPr>
          <w:rFonts w:cs="Arial"/>
          <w:sz w:val="24"/>
        </w:rPr>
        <w:t>ISO9000</w:t>
      </w:r>
      <w:r>
        <w:rPr>
          <w:rFonts w:ascii="宋体" w:hAnsi="宋体" w:cs="Arial"/>
          <w:sz w:val="24"/>
        </w:rPr>
        <w:t>系列国际质量认证体系；</w:t>
      </w:r>
    </w:p>
    <w:p>
      <w:pPr>
        <w:spacing w:line="360" w:lineRule="auto"/>
        <w:ind w:firstLine="480" w:firstLineChars="200"/>
        <w:rPr>
          <w:rFonts w:ascii="宋体" w:hAnsi="宋体" w:cs="Arial"/>
          <w:sz w:val="24"/>
        </w:rPr>
      </w:pPr>
      <w:r>
        <w:rPr>
          <w:rFonts w:hint="eastAsia" w:ascii="宋体" w:hAnsi="宋体" w:cs="Arial"/>
          <w:sz w:val="24"/>
          <w:lang w:val="en-US" w:eastAsia="zh-CN"/>
        </w:rPr>
        <w:t>3</w:t>
      </w:r>
      <w:r>
        <w:rPr>
          <w:rFonts w:hint="eastAsia" w:ascii="宋体" w:hAnsi="宋体" w:cs="Arial"/>
          <w:sz w:val="24"/>
        </w:rPr>
        <w:t>）供</w:t>
      </w:r>
      <w:r>
        <w:rPr>
          <w:rFonts w:ascii="宋体" w:hAnsi="宋体" w:cs="Arial"/>
          <w:sz w:val="24"/>
        </w:rPr>
        <w:t>方将提出施工现场安装注意事项及安装质量保证方法；</w:t>
      </w:r>
    </w:p>
    <w:p>
      <w:pPr>
        <w:keepNext/>
        <w:spacing w:before="312" w:beforeLines="100" w:after="156" w:afterLines="50"/>
        <w:jc w:val="left"/>
        <w:outlineLvl w:val="1"/>
        <w:rPr>
          <w:rFonts w:ascii="Arial" w:hAnsi="Arial" w:eastAsia="黑体" w:cs="Arial"/>
          <w:bCs/>
          <w:sz w:val="24"/>
        </w:rPr>
      </w:pPr>
      <w:bookmarkStart w:id="78" w:name="_Toc462415874"/>
      <w:bookmarkStart w:id="79" w:name="_Toc287280889"/>
      <w:bookmarkStart w:id="80" w:name="_Toc286758648"/>
      <w:bookmarkStart w:id="81" w:name="_Toc286757660"/>
      <w:bookmarkStart w:id="82" w:name="_Toc463657521"/>
      <w:bookmarkStart w:id="83" w:name="_Toc286416616"/>
      <w:bookmarkStart w:id="84" w:name="_Toc286667850"/>
      <w:bookmarkStart w:id="85" w:name="_Toc464221017"/>
      <w:r>
        <w:rPr>
          <w:rFonts w:hint="eastAsia" w:ascii="Arial" w:hAnsi="Arial" w:eastAsia="黑体" w:cs="Arial"/>
          <w:bCs/>
          <w:sz w:val="24"/>
          <w:lang w:val="en-US" w:eastAsia="zh-CN"/>
        </w:rPr>
        <w:t>6.5</w:t>
      </w:r>
      <w:r>
        <w:rPr>
          <w:rFonts w:hint="eastAsia" w:ascii="Arial" w:hAnsi="Arial" w:eastAsia="黑体" w:cs="Arial"/>
          <w:bCs/>
          <w:sz w:val="24"/>
        </w:rPr>
        <w:t>出厂前检验</w:t>
      </w:r>
      <w:bookmarkEnd w:id="78"/>
      <w:bookmarkEnd w:id="79"/>
      <w:bookmarkEnd w:id="80"/>
      <w:bookmarkEnd w:id="81"/>
      <w:bookmarkEnd w:id="82"/>
      <w:bookmarkEnd w:id="83"/>
      <w:bookmarkEnd w:id="84"/>
      <w:bookmarkEnd w:id="85"/>
    </w:p>
    <w:p>
      <w:pPr>
        <w:spacing w:line="360" w:lineRule="auto"/>
        <w:ind w:left="0" w:leftChars="0" w:firstLine="480" w:firstLineChars="200"/>
        <w:rPr>
          <w:rFonts w:ascii="宋体" w:hAnsi="宋体"/>
          <w:sz w:val="24"/>
          <w:szCs w:val="24"/>
        </w:rPr>
      </w:pPr>
      <w:bookmarkStart w:id="86" w:name="_Toc286667851"/>
      <w:bookmarkStart w:id="87" w:name="_Toc286758649"/>
      <w:bookmarkStart w:id="88" w:name="_Toc462415875"/>
      <w:bookmarkStart w:id="89" w:name="_Toc287280890"/>
      <w:bookmarkStart w:id="90" w:name="_Toc286757661"/>
      <w:bookmarkStart w:id="91" w:name="_Toc463657522"/>
      <w:bookmarkStart w:id="92" w:name="_Toc286416617"/>
      <w:bookmarkStart w:id="93" w:name="_Toc464221018"/>
      <w:r>
        <w:rPr>
          <w:rFonts w:hint="eastAsia" w:ascii="宋体" w:hAnsi="宋体" w:cs="Arial"/>
          <w:sz w:val="24"/>
          <w:lang w:val="en-US" w:eastAsia="zh-CN"/>
        </w:rPr>
        <w:t>1</w:t>
      </w:r>
      <w:r>
        <w:rPr>
          <w:rFonts w:hint="eastAsia" w:ascii="宋体" w:hAnsi="宋体" w:cs="Arial"/>
          <w:sz w:val="24"/>
        </w:rPr>
        <w:t>）</w:t>
      </w:r>
      <w:r>
        <w:rPr>
          <w:rFonts w:hint="eastAsia" w:ascii="宋体" w:hAnsi="宋体"/>
          <w:sz w:val="24"/>
          <w:szCs w:val="24"/>
        </w:rPr>
        <w:t>料仓制作过程中，每一道工序完工后都应进行检验，合格后方可进入下一道工序，料仓制作完工后，要进行最终检验，检验内容见相关技术标准和以上技术要求，并出具质量检验报告和产品质量证明书。</w:t>
      </w:r>
    </w:p>
    <w:p>
      <w:pPr>
        <w:numPr>
          <w:ilvl w:val="0"/>
          <w:numId w:val="0"/>
        </w:numPr>
        <w:spacing w:line="360" w:lineRule="auto"/>
        <w:ind w:firstLine="480" w:firstLineChars="200"/>
        <w:rPr>
          <w:rFonts w:hint="eastAsia" w:ascii="Arial" w:hAnsi="Arial" w:eastAsia="黑体" w:cs="Arial"/>
          <w:bCs/>
          <w:sz w:val="24"/>
          <w:szCs w:val="24"/>
          <w:lang w:val="en-US" w:eastAsia="zh-CN"/>
        </w:rPr>
      </w:pPr>
      <w:r>
        <w:rPr>
          <w:rFonts w:hint="eastAsia" w:ascii="宋体" w:hAnsi="宋体" w:cs="Arial"/>
          <w:sz w:val="24"/>
          <w:lang w:val="en-US" w:eastAsia="zh-CN"/>
        </w:rPr>
        <w:t>2</w:t>
      </w:r>
      <w:r>
        <w:rPr>
          <w:rFonts w:hint="eastAsia" w:ascii="宋体" w:hAnsi="宋体" w:cs="Arial"/>
          <w:sz w:val="24"/>
        </w:rPr>
        <w:t>）</w:t>
      </w:r>
      <w:r>
        <w:rPr>
          <w:rFonts w:hint="eastAsia" w:ascii="宋体" w:hAnsi="宋体"/>
          <w:sz w:val="24"/>
          <w:szCs w:val="24"/>
        </w:rPr>
        <w:t>料仓在制作过程中产生的氧化物、残留铁粉、焊接残渣会直接影响料仓的抗腐蚀性能，制作完成检验合格后，应按图纸要求，进行清污、去油，不锈钢表面应进行酸洗钝化处理，并用蓝点法检测，以无蓝点为合格。</w:t>
      </w:r>
    </w:p>
    <w:p>
      <w:pPr>
        <w:numPr>
          <w:ilvl w:val="0"/>
          <w:numId w:val="0"/>
        </w:numPr>
        <w:spacing w:line="360" w:lineRule="auto"/>
        <w:rPr>
          <w:rFonts w:hint="eastAsia" w:ascii="Arial" w:hAnsi="Arial" w:eastAsia="黑体" w:cs="Arial"/>
          <w:bCs/>
          <w:sz w:val="24"/>
          <w:lang w:val="en-US" w:eastAsia="zh-CN"/>
        </w:rPr>
      </w:pPr>
    </w:p>
    <w:p>
      <w:pPr>
        <w:numPr>
          <w:ilvl w:val="0"/>
          <w:numId w:val="0"/>
        </w:numPr>
        <w:spacing w:line="360" w:lineRule="auto"/>
        <w:rPr>
          <w:rFonts w:ascii="Arial" w:hAnsi="Arial" w:eastAsia="黑体" w:cs="Arial"/>
          <w:bCs/>
          <w:sz w:val="24"/>
        </w:rPr>
      </w:pPr>
      <w:r>
        <w:rPr>
          <w:rFonts w:hint="eastAsia" w:ascii="Arial" w:hAnsi="Arial" w:eastAsia="黑体" w:cs="Arial"/>
          <w:bCs/>
          <w:sz w:val="24"/>
          <w:lang w:val="en-US" w:eastAsia="zh-CN"/>
        </w:rPr>
        <w:t>6.6</w:t>
      </w:r>
      <w:r>
        <w:rPr>
          <w:rFonts w:hint="eastAsia" w:ascii="Arial" w:hAnsi="Arial" w:eastAsia="黑体" w:cs="Arial"/>
          <w:bCs/>
          <w:sz w:val="24"/>
        </w:rPr>
        <w:t>货到现场验收</w:t>
      </w:r>
      <w:bookmarkEnd w:id="86"/>
      <w:bookmarkEnd w:id="87"/>
      <w:bookmarkEnd w:id="88"/>
      <w:bookmarkEnd w:id="89"/>
      <w:bookmarkEnd w:id="90"/>
      <w:bookmarkEnd w:id="91"/>
      <w:bookmarkEnd w:id="92"/>
      <w:bookmarkEnd w:id="93"/>
    </w:p>
    <w:p>
      <w:pPr>
        <w:spacing w:line="360" w:lineRule="auto"/>
        <w:ind w:firstLine="480" w:firstLineChars="200"/>
        <w:rPr>
          <w:rFonts w:ascii="宋体" w:hAnsi="宋体"/>
          <w:sz w:val="24"/>
        </w:rPr>
      </w:pPr>
      <w:r>
        <w:rPr>
          <w:rFonts w:hint="eastAsia" w:ascii="宋体" w:hAnsi="宋体"/>
          <w:sz w:val="24"/>
        </w:rPr>
        <w:t xml:space="preserve">验收地点在甲方现场，双方参加，按照发货清单核对数量及检验设备外观损坏和腐蚀情况，出具验收报告并由双方签字确认。 </w:t>
      </w:r>
    </w:p>
    <w:p>
      <w:pPr>
        <w:keepNext/>
        <w:spacing w:before="312" w:beforeLines="100" w:after="156" w:afterLines="50"/>
        <w:jc w:val="left"/>
        <w:outlineLvl w:val="1"/>
        <w:rPr>
          <w:rFonts w:ascii="Arial" w:hAnsi="Arial" w:eastAsia="黑体" w:cs="Arial"/>
          <w:bCs/>
          <w:sz w:val="24"/>
        </w:rPr>
      </w:pPr>
      <w:bookmarkStart w:id="94" w:name="_Toc463657523"/>
      <w:bookmarkStart w:id="95" w:name="_Toc287280891"/>
      <w:bookmarkStart w:id="96" w:name="_Toc462415876"/>
      <w:bookmarkStart w:id="97" w:name="_Toc286757662"/>
      <w:bookmarkStart w:id="98" w:name="_Toc286416618"/>
      <w:bookmarkStart w:id="99" w:name="_Toc464221019"/>
      <w:bookmarkStart w:id="100" w:name="_Toc286758650"/>
      <w:bookmarkStart w:id="101" w:name="_Toc286667852"/>
      <w:r>
        <w:rPr>
          <w:rFonts w:hint="eastAsia" w:ascii="Arial" w:hAnsi="Arial" w:eastAsia="黑体" w:cs="Arial"/>
          <w:bCs/>
          <w:sz w:val="24"/>
          <w:lang w:val="en-US" w:eastAsia="zh-CN"/>
        </w:rPr>
        <w:t>6.7</w:t>
      </w:r>
      <w:r>
        <w:rPr>
          <w:rFonts w:hint="eastAsia" w:ascii="Arial" w:hAnsi="Arial" w:eastAsia="黑体" w:cs="Arial"/>
          <w:bCs/>
          <w:sz w:val="24"/>
        </w:rPr>
        <w:t>设备</w:t>
      </w:r>
      <w:r>
        <w:rPr>
          <w:rFonts w:hint="eastAsia" w:ascii="Arial" w:hAnsi="Arial" w:eastAsia="黑体" w:cs="Arial"/>
          <w:bCs/>
          <w:sz w:val="24"/>
          <w:lang w:val="en-US" w:eastAsia="zh-CN"/>
        </w:rPr>
        <w:t>制作、施工质量及</w:t>
      </w:r>
      <w:r>
        <w:rPr>
          <w:rFonts w:hint="eastAsia" w:ascii="Arial" w:hAnsi="Arial" w:eastAsia="黑体" w:cs="Arial"/>
          <w:bCs/>
          <w:sz w:val="24"/>
        </w:rPr>
        <w:t>性能考核及验收</w:t>
      </w:r>
      <w:bookmarkEnd w:id="94"/>
      <w:bookmarkEnd w:id="95"/>
      <w:bookmarkEnd w:id="96"/>
      <w:bookmarkEnd w:id="97"/>
      <w:bookmarkEnd w:id="98"/>
      <w:bookmarkEnd w:id="99"/>
      <w:bookmarkEnd w:id="100"/>
      <w:bookmarkEnd w:id="101"/>
    </w:p>
    <w:p>
      <w:pPr>
        <w:spacing w:line="360" w:lineRule="auto"/>
        <w:ind w:firstLine="480" w:firstLineChars="200"/>
        <w:rPr>
          <w:rFonts w:ascii="宋体" w:hAnsi="宋体"/>
          <w:sz w:val="24"/>
        </w:rPr>
      </w:pPr>
      <w:r>
        <w:rPr>
          <w:rFonts w:hint="eastAsia" w:ascii="宋体" w:hAnsi="宋体"/>
          <w:sz w:val="24"/>
          <w:lang w:val="en-US" w:eastAsia="zh-CN"/>
        </w:rPr>
        <w:t>设备制作、施工质量及附件</w:t>
      </w:r>
      <w:r>
        <w:rPr>
          <w:rFonts w:hint="eastAsia" w:ascii="宋体" w:hAnsi="宋体"/>
          <w:sz w:val="24"/>
        </w:rPr>
        <w:t>性能验收试验应在系统全部设备运转稳定，达到额定出力和精度要求连续稳定运行</w:t>
      </w:r>
      <w:r>
        <w:rPr>
          <w:rFonts w:ascii="宋体" w:hAnsi="宋体"/>
          <w:sz w:val="24"/>
        </w:rPr>
        <w:t>,</w:t>
      </w:r>
      <w:r>
        <w:rPr>
          <w:rFonts w:hint="eastAsia" w:ascii="宋体" w:hAnsi="宋体"/>
          <w:sz w:val="24"/>
        </w:rPr>
        <w:t>这项验收试验由甲方负责，乙方参加。验收的地点为甲方现场。验收试验的内容为技术协议书中规定的系统各项性能保证值指标。</w:t>
      </w:r>
    </w:p>
    <w:p>
      <w:pPr>
        <w:spacing w:line="360" w:lineRule="auto"/>
        <w:ind w:firstLine="480" w:firstLineChars="200"/>
        <w:rPr>
          <w:rFonts w:ascii="宋体" w:hAnsi="宋体"/>
          <w:sz w:val="24"/>
        </w:rPr>
      </w:pPr>
      <w:r>
        <w:rPr>
          <w:rFonts w:hint="eastAsia" w:ascii="宋体" w:hAnsi="宋体"/>
          <w:sz w:val="24"/>
        </w:rPr>
        <w:t>验收试验完毕，每套合同设备达到技术协议所规定的各项性能保证值指标后，甲方应在</w:t>
      </w:r>
      <w:r>
        <w:rPr>
          <w:sz w:val="24"/>
        </w:rPr>
        <w:t>10</w:t>
      </w:r>
      <w:r>
        <w:rPr>
          <w:rFonts w:hint="eastAsia" w:ascii="宋体" w:hAnsi="宋体"/>
          <w:sz w:val="24"/>
        </w:rPr>
        <w:t>天内签署由乙方会签的本合同设备初步验收证书一式二份，双方各执一份。</w:t>
      </w:r>
    </w:p>
    <w:p>
      <w:pPr>
        <w:spacing w:line="360" w:lineRule="auto"/>
        <w:rPr>
          <w:rFonts w:ascii="宋体" w:hAnsi="宋体"/>
          <w:sz w:val="24"/>
        </w:rPr>
      </w:pPr>
      <w:r>
        <w:rPr>
          <w:rFonts w:hint="eastAsia" w:ascii="宋体" w:hAnsi="宋体"/>
          <w:sz w:val="24"/>
        </w:rPr>
        <w:t>在不影响本合同设备安全、可靠运行的条件下，如有个别微小缺陷，乙方在双方商定的时间内免费修理上述的缺陷，甲方则可同意签署初步验收证书。</w:t>
      </w:r>
    </w:p>
    <w:p>
      <w:pPr>
        <w:spacing w:line="360" w:lineRule="auto"/>
        <w:ind w:firstLine="480" w:firstLineChars="200"/>
      </w:pPr>
      <w:r>
        <w:rPr>
          <w:rFonts w:hint="eastAsia" w:ascii="宋体" w:hAnsi="宋体"/>
          <w:sz w:val="24"/>
        </w:rPr>
        <w:t>验收证书只是证明乙方所提供的合同设备性能和参数截至出具验收证明时可以按合同要求予以接受，但不能视为乙方对合同设备中存在的可能引起合同设备损坏的潜在缺陷所应负的责任解除的证据。潜在缺陷指设备的隐患在正常情况下不能在制造过程中被发现，乙方对纠正潜在缺陷所应负的责任。</w:t>
      </w:r>
    </w:p>
    <w:p>
      <w:pPr>
        <w:pStyle w:val="2"/>
        <w:keepLines w:val="0"/>
        <w:widowControl/>
        <w:numPr>
          <w:ilvl w:val="0"/>
          <w:numId w:val="0"/>
        </w:numPr>
        <w:tabs>
          <w:tab w:val="left" w:pos="420"/>
        </w:tabs>
        <w:spacing w:before="0" w:line="360" w:lineRule="auto"/>
        <w:ind w:leftChars="0"/>
        <w:jc w:val="left"/>
        <w:rPr>
          <w:rFonts w:hint="eastAsia" w:ascii="宋体" w:hAnsi="宋体" w:eastAsia="宋体" w:cs="宋体"/>
          <w:b/>
          <w:bCs w:val="0"/>
          <w:sz w:val="28"/>
          <w:szCs w:val="28"/>
          <w:lang w:val="en-US" w:eastAsia="zh-CN"/>
        </w:rPr>
      </w:pPr>
      <w:bookmarkStart w:id="102" w:name="_Toc462415877"/>
      <w:bookmarkStart w:id="103" w:name="_Toc286758651"/>
      <w:bookmarkStart w:id="104" w:name="_Toc464230169"/>
      <w:bookmarkStart w:id="105" w:name="_Toc287280892"/>
      <w:bookmarkStart w:id="106" w:name="_Toc463657524"/>
    </w:p>
    <w:p>
      <w:pPr>
        <w:pStyle w:val="2"/>
        <w:keepLines w:val="0"/>
        <w:widowControl/>
        <w:numPr>
          <w:ilvl w:val="0"/>
          <w:numId w:val="0"/>
        </w:numPr>
        <w:tabs>
          <w:tab w:val="left" w:pos="420"/>
        </w:tabs>
        <w:spacing w:before="0" w:line="360" w:lineRule="auto"/>
        <w:ind w:leftChars="0"/>
        <w:jc w:val="left"/>
        <w:rPr>
          <w:rFonts w:hint="eastAsia" w:ascii="黑体" w:hAnsi="黑体" w:eastAsia="黑体" w:cs="黑体"/>
          <w:b/>
          <w:bCs w:val="0"/>
          <w:sz w:val="28"/>
          <w:szCs w:val="28"/>
        </w:rPr>
      </w:pPr>
      <w:r>
        <w:rPr>
          <w:rFonts w:hint="eastAsia" w:ascii="黑体" w:hAnsi="黑体" w:eastAsia="黑体" w:cs="黑体"/>
          <w:b/>
          <w:bCs w:val="0"/>
          <w:sz w:val="28"/>
          <w:szCs w:val="28"/>
          <w:lang w:val="en-US" w:eastAsia="zh-CN"/>
        </w:rPr>
        <w:t>7.</w:t>
      </w:r>
      <w:bookmarkStart w:id="107" w:name="_Toc156119069"/>
      <w:bookmarkStart w:id="108" w:name="_Toc286416619"/>
      <w:bookmarkStart w:id="109" w:name="_Toc286667853"/>
      <w:bookmarkStart w:id="110" w:name="_Toc286757663"/>
      <w:r>
        <w:rPr>
          <w:rFonts w:hint="eastAsia" w:ascii="黑体" w:hAnsi="黑体" w:eastAsia="黑体" w:cs="黑体"/>
          <w:b/>
          <w:bCs w:val="0"/>
          <w:sz w:val="28"/>
          <w:szCs w:val="28"/>
        </w:rPr>
        <w:t>设备外观、运输</w:t>
      </w:r>
      <w:bookmarkEnd w:id="102"/>
      <w:bookmarkEnd w:id="103"/>
      <w:bookmarkEnd w:id="104"/>
      <w:bookmarkEnd w:id="105"/>
      <w:bookmarkEnd w:id="106"/>
      <w:bookmarkEnd w:id="107"/>
      <w:bookmarkEnd w:id="108"/>
      <w:bookmarkEnd w:id="109"/>
      <w:bookmarkEnd w:id="110"/>
    </w:p>
    <w:p>
      <w:pPr>
        <w:keepNext/>
        <w:spacing w:before="312" w:beforeLines="100" w:after="156" w:afterLines="50"/>
        <w:jc w:val="left"/>
        <w:outlineLvl w:val="1"/>
        <w:rPr>
          <w:rFonts w:ascii="Arial" w:hAnsi="Arial" w:eastAsia="黑体" w:cs="Arial"/>
          <w:bCs/>
          <w:sz w:val="24"/>
        </w:rPr>
      </w:pPr>
      <w:bookmarkStart w:id="111" w:name="_Toc463657525"/>
      <w:bookmarkStart w:id="112" w:name="_Toc286667854"/>
      <w:bookmarkStart w:id="113" w:name="_Toc286758652"/>
      <w:bookmarkStart w:id="114" w:name="_Toc286416620"/>
      <w:bookmarkStart w:id="115" w:name="_Toc287280893"/>
      <w:bookmarkStart w:id="116" w:name="_Toc462415878"/>
      <w:bookmarkStart w:id="117" w:name="_Toc464221021"/>
      <w:bookmarkStart w:id="118" w:name="_Toc286757664"/>
      <w:r>
        <w:rPr>
          <w:rFonts w:hint="eastAsia" w:ascii="Arial" w:hAnsi="Arial" w:eastAsia="黑体" w:cs="Arial"/>
          <w:bCs/>
          <w:sz w:val="24"/>
          <w:lang w:val="en-US" w:eastAsia="zh-CN"/>
        </w:rPr>
        <w:t>7.1</w:t>
      </w:r>
      <w:r>
        <w:rPr>
          <w:rFonts w:hint="eastAsia" w:ascii="Arial" w:hAnsi="Arial" w:eastAsia="黑体" w:cs="Arial"/>
          <w:bCs/>
          <w:sz w:val="24"/>
        </w:rPr>
        <w:t>设备外观</w:t>
      </w:r>
      <w:bookmarkEnd w:id="111"/>
      <w:bookmarkEnd w:id="112"/>
      <w:bookmarkEnd w:id="113"/>
      <w:bookmarkEnd w:id="114"/>
      <w:bookmarkEnd w:id="115"/>
      <w:bookmarkEnd w:id="116"/>
      <w:bookmarkEnd w:id="117"/>
      <w:bookmarkEnd w:id="118"/>
    </w:p>
    <w:p>
      <w:pPr>
        <w:spacing w:line="360" w:lineRule="auto"/>
        <w:ind w:firstLine="480" w:firstLineChars="200"/>
        <w:rPr>
          <w:bCs/>
          <w:sz w:val="24"/>
        </w:rPr>
      </w:pPr>
      <w:r>
        <w:rPr>
          <w:bCs/>
          <w:sz w:val="24"/>
        </w:rPr>
        <w:t>设备出厂前将完成设备除锈、</w:t>
      </w:r>
      <w:r>
        <w:rPr>
          <w:rFonts w:hint="eastAsia"/>
          <w:bCs/>
          <w:sz w:val="24"/>
          <w:lang w:val="en-US" w:eastAsia="zh-CN"/>
        </w:rPr>
        <w:t>酸洗、</w:t>
      </w:r>
      <w:r>
        <w:rPr>
          <w:bCs/>
          <w:sz w:val="24"/>
        </w:rPr>
        <w:t>油漆等各项工作，设备安装完成后，将修补破损面漆。</w:t>
      </w:r>
      <w:r>
        <w:rPr>
          <w:rFonts w:hint="eastAsia" w:ascii="宋体" w:hAnsi="宋体"/>
          <w:sz w:val="24"/>
        </w:rPr>
        <w:t>泵体进行表面除锈处理后二十四小时之内完成第一遍底漆涂装，随即按工艺要求顺序进行，直到面漆涂装。</w:t>
      </w:r>
    </w:p>
    <w:p>
      <w:pPr>
        <w:keepNext/>
        <w:spacing w:before="312" w:beforeLines="100" w:after="156" w:afterLines="50"/>
        <w:jc w:val="left"/>
        <w:outlineLvl w:val="1"/>
        <w:rPr>
          <w:rFonts w:ascii="Arial" w:hAnsi="Arial" w:eastAsia="黑体" w:cs="Arial"/>
          <w:bCs/>
          <w:sz w:val="24"/>
        </w:rPr>
      </w:pPr>
      <w:bookmarkStart w:id="119" w:name="_Toc287280895"/>
      <w:bookmarkStart w:id="120" w:name="_Toc464221023"/>
      <w:bookmarkStart w:id="121" w:name="_Toc286757666"/>
      <w:bookmarkStart w:id="122" w:name="_Toc286667856"/>
      <w:bookmarkStart w:id="123" w:name="_Toc463657527"/>
      <w:bookmarkStart w:id="124" w:name="_Toc462415880"/>
      <w:bookmarkStart w:id="125" w:name="_Toc286416622"/>
      <w:bookmarkStart w:id="126" w:name="_Toc286758654"/>
      <w:r>
        <w:rPr>
          <w:rFonts w:hint="eastAsia" w:ascii="Arial" w:hAnsi="Arial" w:eastAsia="黑体" w:cs="Arial"/>
          <w:bCs/>
          <w:sz w:val="24"/>
          <w:lang w:val="en-US" w:eastAsia="zh-CN"/>
        </w:rPr>
        <w:t>7.2</w:t>
      </w:r>
      <w:r>
        <w:rPr>
          <w:rFonts w:hint="eastAsia" w:ascii="Arial" w:hAnsi="Arial" w:eastAsia="黑体" w:cs="Arial"/>
          <w:bCs/>
          <w:sz w:val="24"/>
        </w:rPr>
        <w:t>运输</w:t>
      </w:r>
      <w:bookmarkEnd w:id="119"/>
      <w:bookmarkEnd w:id="120"/>
      <w:bookmarkEnd w:id="121"/>
      <w:bookmarkEnd w:id="122"/>
      <w:bookmarkEnd w:id="123"/>
      <w:bookmarkEnd w:id="124"/>
      <w:bookmarkEnd w:id="125"/>
      <w:bookmarkEnd w:id="126"/>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）交货地点：甲方施工现场，车上交货；</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）运输方式：汽车运输。</w:t>
      </w:r>
    </w:p>
    <w:p>
      <w:pPr>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）从乙方至合同目的地的运输保险，由乙方负责投保并承担全额保险费。保险应以人民币按照发票金额的</w:t>
      </w:r>
      <w:r>
        <w:rPr>
          <w:sz w:val="24"/>
        </w:rPr>
        <w:t>110</w:t>
      </w:r>
      <w:r>
        <w:rPr>
          <w:rFonts w:ascii="宋体" w:hAnsi="宋体"/>
          <w:sz w:val="24"/>
        </w:rPr>
        <w:t>%</w:t>
      </w:r>
      <w:r>
        <w:rPr>
          <w:rFonts w:hint="eastAsia" w:ascii="宋体" w:hAnsi="宋体"/>
          <w:sz w:val="24"/>
        </w:rPr>
        <w:t>办理“一切险”。</w:t>
      </w:r>
    </w:p>
    <w:p>
      <w:pPr>
        <w:snapToGrid w:val="0"/>
        <w:spacing w:line="360" w:lineRule="auto"/>
        <w:outlineLvl w:val="0"/>
        <w:rPr>
          <w:rFonts w:hint="eastAsia" w:ascii="宋体" w:hAnsi="宋体"/>
          <w:b/>
          <w:bCs w:val="0"/>
          <w:sz w:val="24"/>
          <w:szCs w:val="24"/>
          <w:lang w:val="en-US" w:eastAsia="zh-CN"/>
        </w:rPr>
      </w:pPr>
    </w:p>
    <w:p>
      <w:pPr>
        <w:snapToGrid w:val="0"/>
        <w:spacing w:line="360" w:lineRule="auto"/>
        <w:outlineLvl w:val="0"/>
        <w:rPr>
          <w:rFonts w:ascii="宋体" w:hAnsi="宋体"/>
          <w:b/>
          <w:bCs w:val="0"/>
          <w:sz w:val="28"/>
          <w:szCs w:val="28"/>
        </w:rPr>
      </w:pPr>
      <w:r>
        <w:rPr>
          <w:rFonts w:hint="eastAsia" w:ascii="宋体" w:hAnsi="宋体"/>
          <w:b/>
          <w:bCs w:val="0"/>
          <w:sz w:val="28"/>
          <w:szCs w:val="28"/>
          <w:lang w:val="en-US" w:eastAsia="zh-CN"/>
        </w:rPr>
        <w:t>8</w:t>
      </w:r>
      <w:r>
        <w:rPr>
          <w:rFonts w:hint="eastAsia" w:ascii="宋体" w:hAnsi="宋体"/>
          <w:b/>
          <w:bCs w:val="0"/>
          <w:sz w:val="28"/>
          <w:szCs w:val="28"/>
        </w:rPr>
        <w:t>.售后服务</w:t>
      </w:r>
    </w:p>
    <w:p>
      <w:pPr>
        <w:snapToGrid w:val="0"/>
        <w:spacing w:line="360" w:lineRule="auto"/>
        <w:rPr>
          <w:rFonts w:ascii="宋体" w:hAnsi="宋体"/>
          <w:b/>
          <w:bCs w:val="0"/>
          <w:color w:val="000000"/>
          <w:sz w:val="24"/>
          <w:szCs w:val="24"/>
        </w:rPr>
      </w:pPr>
      <w:r>
        <w:rPr>
          <w:rFonts w:hint="eastAsia" w:ascii="宋体" w:hAnsi="宋体"/>
          <w:b/>
          <w:bCs w:val="0"/>
          <w:color w:val="000000"/>
          <w:sz w:val="24"/>
          <w:szCs w:val="24"/>
          <w:lang w:val="en-US" w:eastAsia="zh-CN"/>
        </w:rPr>
        <w:t>8</w:t>
      </w:r>
      <w:r>
        <w:rPr>
          <w:rFonts w:hint="eastAsia" w:ascii="宋体" w:hAnsi="宋体"/>
          <w:b/>
          <w:bCs w:val="0"/>
          <w:color w:val="000000"/>
          <w:sz w:val="24"/>
          <w:szCs w:val="24"/>
        </w:rPr>
        <w:t>.1售前服务</w:t>
      </w:r>
    </w:p>
    <w:p>
      <w:pPr>
        <w:spacing w:line="360" w:lineRule="auto"/>
        <w:ind w:firstLine="420"/>
        <w:rPr>
          <w:rFonts w:ascii="宋体" w:hAnsi="宋体"/>
          <w:bCs/>
          <w:sz w:val="24"/>
          <w:szCs w:val="24"/>
        </w:rPr>
      </w:pPr>
      <w:r>
        <w:rPr>
          <w:rFonts w:hint="eastAsia" w:ascii="宋体" w:hAnsi="宋体"/>
          <w:bCs/>
          <w:sz w:val="24"/>
          <w:szCs w:val="24"/>
        </w:rPr>
        <w:t>免费提供售前技术咨询，并根据买受方的实际需求做出科学合理的制作工艺、安装流程等，使项目整体运行最经济、最有效。</w:t>
      </w:r>
    </w:p>
    <w:p>
      <w:pPr>
        <w:snapToGrid w:val="0"/>
        <w:spacing w:line="360" w:lineRule="auto"/>
        <w:rPr>
          <w:rFonts w:hint="eastAsia" w:ascii="宋体" w:hAnsi="宋体"/>
          <w:b/>
          <w:bCs w:val="0"/>
          <w:color w:val="000000"/>
          <w:sz w:val="24"/>
          <w:szCs w:val="24"/>
          <w:lang w:val="en-US" w:eastAsia="zh-CN"/>
        </w:rPr>
      </w:pPr>
    </w:p>
    <w:p>
      <w:pPr>
        <w:snapToGrid w:val="0"/>
        <w:spacing w:line="360" w:lineRule="auto"/>
        <w:rPr>
          <w:rFonts w:ascii="宋体" w:hAnsi="宋体"/>
          <w:b/>
          <w:bCs w:val="0"/>
          <w:color w:val="000000"/>
          <w:sz w:val="24"/>
          <w:szCs w:val="24"/>
        </w:rPr>
      </w:pPr>
      <w:r>
        <w:rPr>
          <w:rFonts w:hint="eastAsia" w:ascii="宋体" w:hAnsi="宋体"/>
          <w:b/>
          <w:bCs w:val="0"/>
          <w:color w:val="000000"/>
          <w:sz w:val="24"/>
          <w:szCs w:val="24"/>
          <w:lang w:val="en-US" w:eastAsia="zh-CN"/>
        </w:rPr>
        <w:t>8</w:t>
      </w:r>
      <w:r>
        <w:rPr>
          <w:rFonts w:hint="eastAsia" w:ascii="宋体" w:hAnsi="宋体"/>
          <w:b/>
          <w:bCs w:val="0"/>
          <w:color w:val="000000"/>
          <w:sz w:val="24"/>
          <w:szCs w:val="24"/>
        </w:rPr>
        <w:t>.2售后服务</w:t>
      </w:r>
    </w:p>
    <w:p>
      <w:pPr>
        <w:snapToGrid w:val="0"/>
        <w:spacing w:line="360" w:lineRule="auto"/>
        <w:ind w:firstLine="560"/>
        <w:rPr>
          <w:rFonts w:ascii="宋体" w:hAnsi="宋体"/>
          <w:color w:val="000000"/>
          <w:sz w:val="24"/>
          <w:szCs w:val="24"/>
        </w:rPr>
      </w:pPr>
      <w:r>
        <w:rPr>
          <w:rFonts w:hint="eastAsia" w:ascii="宋体" w:hAnsi="宋体"/>
          <w:color w:val="000000"/>
          <w:sz w:val="24"/>
          <w:szCs w:val="24"/>
        </w:rPr>
        <w:t>设备质量保证期为壹年，质保期内，如果出现材料或制造质量问题，出卖方应在接到买受方投诉电话后，24小时内赶到现场给予免费维修处理。如果出现非材料或制造质量问题，出卖方应积极配合买受方及时维修处理，维修处理费用由买受方承担。</w:t>
      </w:r>
    </w:p>
    <w:p>
      <w:pPr>
        <w:numPr>
          <w:ilvl w:val="0"/>
          <w:numId w:val="0"/>
        </w:numPr>
        <w:snapToGrid w:val="0"/>
        <w:spacing w:line="360" w:lineRule="auto"/>
        <w:rPr>
          <w:rFonts w:hint="eastAsia" w:ascii="宋体" w:hAnsi="宋体"/>
          <w:color w:val="000000"/>
          <w:sz w:val="24"/>
          <w:szCs w:val="24"/>
        </w:rPr>
      </w:pPr>
    </w:p>
    <w:p>
      <w:pPr>
        <w:numPr>
          <w:ilvl w:val="0"/>
          <w:numId w:val="0"/>
        </w:num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本协议一式两份，买受方和出卖方各执一份。本协议与合同具有同等法律效力。</w:t>
      </w:r>
    </w:p>
    <w:p>
      <w:pPr>
        <w:spacing w:line="360" w:lineRule="auto"/>
        <w:ind w:firstLine="480" w:firstLineChars="200"/>
        <w:rPr>
          <w:sz w:val="24"/>
        </w:rPr>
      </w:pPr>
    </w:p>
    <w:p>
      <w:pPr>
        <w:spacing w:line="360" w:lineRule="auto"/>
        <w:rPr>
          <w:rFonts w:hint="eastAsia" w:cs="Arial"/>
          <w:b/>
          <w:sz w:val="24"/>
        </w:rPr>
      </w:pPr>
    </w:p>
    <w:p>
      <w:pPr>
        <w:spacing w:line="360" w:lineRule="auto"/>
        <w:rPr>
          <w:rFonts w:hint="eastAsia" w:cs="Arial"/>
          <w:b/>
          <w:sz w:val="24"/>
        </w:rPr>
      </w:pPr>
      <w:r>
        <w:rPr>
          <w:rFonts w:hint="eastAsia" w:cs="Arial"/>
          <w:b/>
          <w:sz w:val="24"/>
        </w:rPr>
        <w:t>双方签字：</w:t>
      </w:r>
    </w:p>
    <w:tbl>
      <w:tblPr>
        <w:tblStyle w:val="15"/>
        <w:tblW w:w="51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9"/>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484"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515"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bookmarkEnd w:id="1"/>
      <w:bookmarkEnd w:id="2"/>
      <w:bookmarkEnd w:id="3"/>
    </w:tbl>
    <w:p>
      <w:pPr>
        <w:spacing w:line="440" w:lineRule="exact"/>
        <w:jc w:val="left"/>
        <w:rPr>
          <w:rFonts w:hint="eastAsia" w:ascii="新宋体" w:hAnsi="新宋体" w:eastAsia="新宋体" w:cs="新宋体"/>
          <w:snapToGrid w:val="0"/>
          <w:kern w:val="0"/>
          <w:sz w:val="24"/>
          <w:szCs w:val="24"/>
          <w:lang w:val="en-US" w:eastAsia="zh-CN"/>
        </w:rPr>
      </w:pPr>
    </w:p>
    <w:p>
      <w:pPr>
        <w:spacing w:line="440" w:lineRule="exact"/>
        <w:jc w:val="left"/>
        <w:rPr>
          <w:rFonts w:hint="default" w:ascii="新宋体" w:hAnsi="新宋体" w:eastAsia="新宋体" w:cs="新宋体"/>
          <w:snapToGrid w:val="0"/>
          <w:kern w:val="0"/>
          <w:sz w:val="24"/>
          <w:szCs w:val="24"/>
          <w:lang w:val="en-US" w:eastAsia="zh-CN"/>
        </w:rPr>
      </w:pPr>
    </w:p>
    <w:p>
      <w:pPr>
        <w:spacing w:line="440" w:lineRule="exact"/>
        <w:jc w:val="left"/>
        <w:rPr>
          <w:rFonts w:hint="default" w:ascii="新宋体" w:hAnsi="新宋体" w:eastAsia="新宋体" w:cs="新宋体"/>
          <w:snapToGrid w:val="0"/>
          <w:kern w:val="0"/>
          <w:sz w:val="24"/>
          <w:szCs w:val="24"/>
          <w:lang w:val="en-US" w:eastAsia="zh-CN"/>
        </w:rPr>
      </w:pPr>
    </w:p>
    <w:p>
      <w:pPr>
        <w:spacing w:line="440" w:lineRule="exact"/>
        <w:jc w:val="left"/>
        <w:rPr>
          <w:rFonts w:hint="default" w:ascii="新宋体" w:hAnsi="新宋体" w:eastAsia="新宋体" w:cs="新宋体"/>
          <w:snapToGrid w:val="0"/>
          <w:kern w:val="0"/>
          <w:sz w:val="24"/>
          <w:szCs w:val="24"/>
          <w:lang w:val="en-US" w:eastAsia="zh-CN"/>
        </w:rPr>
      </w:pPr>
    </w:p>
    <w:p>
      <w:pPr>
        <w:spacing w:line="440" w:lineRule="exact"/>
        <w:jc w:val="left"/>
        <w:rPr>
          <w:rFonts w:hint="default" w:ascii="新宋体" w:hAnsi="新宋体" w:eastAsia="新宋体" w:cs="新宋体"/>
          <w:snapToGrid w:val="0"/>
          <w:kern w:val="0"/>
          <w:sz w:val="24"/>
          <w:szCs w:val="24"/>
          <w:lang w:val="en-US" w:eastAsia="zh-CN"/>
        </w:rPr>
      </w:pPr>
    </w:p>
    <w:p>
      <w:pPr>
        <w:spacing w:line="440" w:lineRule="exact"/>
        <w:jc w:val="left"/>
        <w:rPr>
          <w:rFonts w:hint="default" w:ascii="新宋体" w:hAnsi="新宋体" w:eastAsia="新宋体" w:cs="新宋体"/>
          <w:snapToGrid w:val="0"/>
          <w:kern w:val="0"/>
          <w:sz w:val="24"/>
          <w:szCs w:val="24"/>
          <w:lang w:val="en-US" w:eastAsia="zh-CN"/>
        </w:rPr>
      </w:pPr>
    </w:p>
    <w:p>
      <w:pPr>
        <w:spacing w:line="440" w:lineRule="exact"/>
        <w:jc w:val="left"/>
        <w:rPr>
          <w:rFonts w:hint="default" w:ascii="新宋体" w:hAnsi="新宋体" w:eastAsia="新宋体" w:cs="新宋体"/>
          <w:snapToGrid w:val="0"/>
          <w:kern w:val="0"/>
          <w:sz w:val="24"/>
          <w:szCs w:val="24"/>
          <w:lang w:val="en-US" w:eastAsia="zh-CN"/>
        </w:rPr>
      </w:pPr>
    </w:p>
    <w:sectPr>
      <w:pgSz w:w="11906" w:h="16838"/>
      <w:pgMar w:top="1440" w:right="1418" w:bottom="1418" w:left="141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3"/>
      </w:rPr>
    </w:pPr>
    <w:r>
      <w:rPr>
        <w:sz w:val="1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A552F2"/>
    <w:multiLevelType w:val="multilevel"/>
    <w:tmpl w:val="47A552F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
    <w:nsid w:val="73BF2744"/>
    <w:multiLevelType w:val="multilevel"/>
    <w:tmpl w:val="73BF2744"/>
    <w:lvl w:ilvl="0" w:tentative="0">
      <w:start w:val="1"/>
      <w:numFmt w:val="bullet"/>
      <w:lvlText w:val=""/>
      <w:lvlJc w:val="left"/>
      <w:pPr>
        <w:tabs>
          <w:tab w:val="left" w:pos="-420"/>
        </w:tabs>
        <w:ind w:left="480" w:hanging="420"/>
      </w:pPr>
      <w:rPr>
        <w:rFonts w:hint="default" w:ascii="Wingdings" w:hAnsi="Wingdings"/>
      </w:rPr>
    </w:lvl>
    <w:lvl w:ilvl="1" w:tentative="0">
      <w:start w:val="1"/>
      <w:numFmt w:val="bullet"/>
      <w:lvlText w:val=""/>
      <w:lvlJc w:val="left"/>
      <w:pPr>
        <w:tabs>
          <w:tab w:val="left" w:pos="-420"/>
        </w:tabs>
        <w:ind w:left="900" w:hanging="420"/>
      </w:pPr>
      <w:rPr>
        <w:rFonts w:hint="default" w:ascii="Wingdings" w:hAnsi="Wingdings"/>
      </w:rPr>
    </w:lvl>
    <w:lvl w:ilvl="2" w:tentative="0">
      <w:start w:val="1"/>
      <w:numFmt w:val="bullet"/>
      <w:lvlText w:val=""/>
      <w:lvlJc w:val="left"/>
      <w:pPr>
        <w:tabs>
          <w:tab w:val="left" w:pos="-420"/>
        </w:tabs>
        <w:ind w:left="1320" w:hanging="420"/>
      </w:pPr>
      <w:rPr>
        <w:rFonts w:hint="default" w:ascii="Wingdings" w:hAnsi="Wingdings"/>
      </w:rPr>
    </w:lvl>
    <w:lvl w:ilvl="3" w:tentative="0">
      <w:start w:val="1"/>
      <w:numFmt w:val="bullet"/>
      <w:lvlText w:val=""/>
      <w:lvlJc w:val="left"/>
      <w:pPr>
        <w:tabs>
          <w:tab w:val="left" w:pos="-420"/>
        </w:tabs>
        <w:ind w:left="1740" w:hanging="420"/>
      </w:pPr>
      <w:rPr>
        <w:rFonts w:hint="default" w:ascii="Wingdings" w:hAnsi="Wingdings"/>
      </w:rPr>
    </w:lvl>
    <w:lvl w:ilvl="4" w:tentative="0">
      <w:start w:val="1"/>
      <w:numFmt w:val="bullet"/>
      <w:lvlText w:val=""/>
      <w:lvlJc w:val="left"/>
      <w:pPr>
        <w:tabs>
          <w:tab w:val="left" w:pos="-420"/>
        </w:tabs>
        <w:ind w:left="2160" w:hanging="420"/>
      </w:pPr>
      <w:rPr>
        <w:rFonts w:hint="default" w:ascii="Wingdings" w:hAnsi="Wingdings"/>
      </w:rPr>
    </w:lvl>
    <w:lvl w:ilvl="5" w:tentative="0">
      <w:start w:val="1"/>
      <w:numFmt w:val="bullet"/>
      <w:lvlText w:val=""/>
      <w:lvlJc w:val="left"/>
      <w:pPr>
        <w:tabs>
          <w:tab w:val="left" w:pos="-420"/>
        </w:tabs>
        <w:ind w:left="2580" w:hanging="420"/>
      </w:pPr>
      <w:rPr>
        <w:rFonts w:hint="default" w:ascii="Wingdings" w:hAnsi="Wingdings"/>
      </w:rPr>
    </w:lvl>
    <w:lvl w:ilvl="6" w:tentative="0">
      <w:start w:val="1"/>
      <w:numFmt w:val="bullet"/>
      <w:lvlText w:val=""/>
      <w:lvlJc w:val="left"/>
      <w:pPr>
        <w:tabs>
          <w:tab w:val="left" w:pos="-420"/>
        </w:tabs>
        <w:ind w:left="3000" w:hanging="420"/>
      </w:pPr>
      <w:rPr>
        <w:rFonts w:hint="default" w:ascii="Wingdings" w:hAnsi="Wingdings"/>
      </w:rPr>
    </w:lvl>
    <w:lvl w:ilvl="7" w:tentative="0">
      <w:start w:val="1"/>
      <w:numFmt w:val="bullet"/>
      <w:lvlText w:val=""/>
      <w:lvlJc w:val="left"/>
      <w:pPr>
        <w:tabs>
          <w:tab w:val="left" w:pos="-420"/>
        </w:tabs>
        <w:ind w:left="3420" w:hanging="420"/>
      </w:pPr>
      <w:rPr>
        <w:rFonts w:hint="default" w:ascii="Wingdings" w:hAnsi="Wingdings"/>
      </w:rPr>
    </w:lvl>
    <w:lvl w:ilvl="8" w:tentative="0">
      <w:start w:val="1"/>
      <w:numFmt w:val="bullet"/>
      <w:lvlText w:val=""/>
      <w:lvlJc w:val="left"/>
      <w:pPr>
        <w:tabs>
          <w:tab w:val="left" w:pos="-420"/>
        </w:tabs>
        <w:ind w:left="38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WZkMjNiMDA3Y2VmM2NkODM0YjE4MWYwOTg2ZmQifQ=="/>
  </w:docVars>
  <w:rsids>
    <w:rsidRoot w:val="008F4CE0"/>
    <w:rsid w:val="000210DD"/>
    <w:rsid w:val="0005142A"/>
    <w:rsid w:val="000514E5"/>
    <w:rsid w:val="000835F8"/>
    <w:rsid w:val="000C1E0E"/>
    <w:rsid w:val="000C43E3"/>
    <w:rsid w:val="000C6DF5"/>
    <w:rsid w:val="0010798C"/>
    <w:rsid w:val="00120FD8"/>
    <w:rsid w:val="00134158"/>
    <w:rsid w:val="0014546B"/>
    <w:rsid w:val="001479A1"/>
    <w:rsid w:val="00152C17"/>
    <w:rsid w:val="0018755D"/>
    <w:rsid w:val="001A6114"/>
    <w:rsid w:val="001B09FA"/>
    <w:rsid w:val="001C0D36"/>
    <w:rsid w:val="001E74CD"/>
    <w:rsid w:val="001F1B6A"/>
    <w:rsid w:val="0021495A"/>
    <w:rsid w:val="00220A1D"/>
    <w:rsid w:val="00290970"/>
    <w:rsid w:val="002A2D13"/>
    <w:rsid w:val="00331623"/>
    <w:rsid w:val="0033756D"/>
    <w:rsid w:val="003860B8"/>
    <w:rsid w:val="003D69EE"/>
    <w:rsid w:val="00410641"/>
    <w:rsid w:val="00422F3B"/>
    <w:rsid w:val="004B7FB1"/>
    <w:rsid w:val="004C69AE"/>
    <w:rsid w:val="004E60EA"/>
    <w:rsid w:val="004E6708"/>
    <w:rsid w:val="00506222"/>
    <w:rsid w:val="005751DF"/>
    <w:rsid w:val="00591511"/>
    <w:rsid w:val="005F32EF"/>
    <w:rsid w:val="006076FE"/>
    <w:rsid w:val="0062439F"/>
    <w:rsid w:val="00633DED"/>
    <w:rsid w:val="00647C1D"/>
    <w:rsid w:val="00666DE8"/>
    <w:rsid w:val="006A3E7F"/>
    <w:rsid w:val="006D1E05"/>
    <w:rsid w:val="00756506"/>
    <w:rsid w:val="00766894"/>
    <w:rsid w:val="007754A6"/>
    <w:rsid w:val="007A59B1"/>
    <w:rsid w:val="007D6D0B"/>
    <w:rsid w:val="007E4E23"/>
    <w:rsid w:val="008032C8"/>
    <w:rsid w:val="00820143"/>
    <w:rsid w:val="00832A14"/>
    <w:rsid w:val="00835861"/>
    <w:rsid w:val="008562A7"/>
    <w:rsid w:val="00886699"/>
    <w:rsid w:val="008D2549"/>
    <w:rsid w:val="008F4CE0"/>
    <w:rsid w:val="00912CF6"/>
    <w:rsid w:val="0092743A"/>
    <w:rsid w:val="009515CD"/>
    <w:rsid w:val="00966FA1"/>
    <w:rsid w:val="009D2452"/>
    <w:rsid w:val="009D564E"/>
    <w:rsid w:val="009E00D3"/>
    <w:rsid w:val="00A206DD"/>
    <w:rsid w:val="00A40158"/>
    <w:rsid w:val="00A5654D"/>
    <w:rsid w:val="00AA5A72"/>
    <w:rsid w:val="00AB126D"/>
    <w:rsid w:val="00AC4DCE"/>
    <w:rsid w:val="00AE1EF1"/>
    <w:rsid w:val="00AE29FE"/>
    <w:rsid w:val="00B00B78"/>
    <w:rsid w:val="00B2094F"/>
    <w:rsid w:val="00B31EED"/>
    <w:rsid w:val="00B64F67"/>
    <w:rsid w:val="00B705A1"/>
    <w:rsid w:val="00BB4ECA"/>
    <w:rsid w:val="00BC509E"/>
    <w:rsid w:val="00BD5B54"/>
    <w:rsid w:val="00C03225"/>
    <w:rsid w:val="00C27A84"/>
    <w:rsid w:val="00D20D21"/>
    <w:rsid w:val="00D342B7"/>
    <w:rsid w:val="00D40D69"/>
    <w:rsid w:val="00D54184"/>
    <w:rsid w:val="00D8082C"/>
    <w:rsid w:val="00DE71E4"/>
    <w:rsid w:val="00E345D0"/>
    <w:rsid w:val="00E4294F"/>
    <w:rsid w:val="00E56BEE"/>
    <w:rsid w:val="00EF7483"/>
    <w:rsid w:val="00F73B9A"/>
    <w:rsid w:val="00F8173C"/>
    <w:rsid w:val="00F84528"/>
    <w:rsid w:val="00FC39E6"/>
    <w:rsid w:val="00FD485A"/>
    <w:rsid w:val="04390EE3"/>
    <w:rsid w:val="054B0105"/>
    <w:rsid w:val="054B4ACC"/>
    <w:rsid w:val="063444F1"/>
    <w:rsid w:val="071D6637"/>
    <w:rsid w:val="08022AE9"/>
    <w:rsid w:val="080272B4"/>
    <w:rsid w:val="083E368D"/>
    <w:rsid w:val="09AE3CE8"/>
    <w:rsid w:val="09EC6316"/>
    <w:rsid w:val="0B035C4C"/>
    <w:rsid w:val="0B170100"/>
    <w:rsid w:val="0C5A6AF4"/>
    <w:rsid w:val="0CF227F7"/>
    <w:rsid w:val="0D9773A6"/>
    <w:rsid w:val="0DB94526"/>
    <w:rsid w:val="0DBE2B84"/>
    <w:rsid w:val="0E0E5A01"/>
    <w:rsid w:val="0F4945AD"/>
    <w:rsid w:val="106122C9"/>
    <w:rsid w:val="114C30E2"/>
    <w:rsid w:val="11E02BCD"/>
    <w:rsid w:val="121C5199"/>
    <w:rsid w:val="137837D5"/>
    <w:rsid w:val="142932E7"/>
    <w:rsid w:val="1676477B"/>
    <w:rsid w:val="1749149C"/>
    <w:rsid w:val="17B07766"/>
    <w:rsid w:val="1A0B79D1"/>
    <w:rsid w:val="1BB370AE"/>
    <w:rsid w:val="1C386971"/>
    <w:rsid w:val="1C7903AF"/>
    <w:rsid w:val="1CC87CDF"/>
    <w:rsid w:val="1DB72482"/>
    <w:rsid w:val="21166835"/>
    <w:rsid w:val="256718B8"/>
    <w:rsid w:val="26CA0E8C"/>
    <w:rsid w:val="29557AAE"/>
    <w:rsid w:val="2F8161F0"/>
    <w:rsid w:val="2FD551D6"/>
    <w:rsid w:val="30586D02"/>
    <w:rsid w:val="349D49F2"/>
    <w:rsid w:val="34D44803"/>
    <w:rsid w:val="34EE2B61"/>
    <w:rsid w:val="382C3291"/>
    <w:rsid w:val="38794F42"/>
    <w:rsid w:val="391A52DB"/>
    <w:rsid w:val="393358D6"/>
    <w:rsid w:val="3A193FA1"/>
    <w:rsid w:val="3A78353E"/>
    <w:rsid w:val="3B00217F"/>
    <w:rsid w:val="3B4816E5"/>
    <w:rsid w:val="3DC227AD"/>
    <w:rsid w:val="3DD031A2"/>
    <w:rsid w:val="3E464D91"/>
    <w:rsid w:val="3F264085"/>
    <w:rsid w:val="402941D1"/>
    <w:rsid w:val="40722FD5"/>
    <w:rsid w:val="409F660C"/>
    <w:rsid w:val="42BD0BDC"/>
    <w:rsid w:val="42E8493F"/>
    <w:rsid w:val="44D424D1"/>
    <w:rsid w:val="47CA508E"/>
    <w:rsid w:val="4873729A"/>
    <w:rsid w:val="4B693A74"/>
    <w:rsid w:val="4D8E0886"/>
    <w:rsid w:val="4DC95A6A"/>
    <w:rsid w:val="4E915170"/>
    <w:rsid w:val="4EAB426C"/>
    <w:rsid w:val="4EF04EE2"/>
    <w:rsid w:val="4F2A1121"/>
    <w:rsid w:val="4FAB4989"/>
    <w:rsid w:val="5052542C"/>
    <w:rsid w:val="516D57A4"/>
    <w:rsid w:val="518E5997"/>
    <w:rsid w:val="52B03878"/>
    <w:rsid w:val="58550FBC"/>
    <w:rsid w:val="59566088"/>
    <w:rsid w:val="5B711651"/>
    <w:rsid w:val="5C046150"/>
    <w:rsid w:val="60695F4D"/>
    <w:rsid w:val="608F4431"/>
    <w:rsid w:val="618D7A19"/>
    <w:rsid w:val="62A0686D"/>
    <w:rsid w:val="65CD15D9"/>
    <w:rsid w:val="660E3E27"/>
    <w:rsid w:val="66215314"/>
    <w:rsid w:val="66E4436D"/>
    <w:rsid w:val="6786523A"/>
    <w:rsid w:val="688F7BB7"/>
    <w:rsid w:val="6BEE28C5"/>
    <w:rsid w:val="6C0A7EB8"/>
    <w:rsid w:val="6DD26475"/>
    <w:rsid w:val="6DD65311"/>
    <w:rsid w:val="72772234"/>
    <w:rsid w:val="73A71A97"/>
    <w:rsid w:val="73F87045"/>
    <w:rsid w:val="75E06493"/>
    <w:rsid w:val="75FD7697"/>
    <w:rsid w:val="78306EF8"/>
    <w:rsid w:val="79683176"/>
    <w:rsid w:val="7A015186"/>
    <w:rsid w:val="7AD53B92"/>
    <w:rsid w:val="7BCB31C0"/>
    <w:rsid w:val="7D227143"/>
    <w:rsid w:val="7F127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3">
    <w:name w:val="heading 2"/>
    <w:basedOn w:val="1"/>
    <w:next w:val="1"/>
    <w:qFormat/>
    <w:uiPriority w:val="0"/>
    <w:pPr>
      <w:keepNext/>
      <w:spacing w:before="100" w:beforeLines="100" w:after="50" w:afterLines="50"/>
      <w:jc w:val="left"/>
      <w:outlineLvl w:val="1"/>
    </w:pPr>
    <w:rPr>
      <w:rFonts w:ascii="Arial" w:hAnsi="Arial" w:eastAsia="黑体" w:cs="Arial"/>
      <w:b/>
      <w:bCs/>
      <w:sz w:val="28"/>
    </w:rPr>
  </w:style>
  <w:style w:type="paragraph" w:styleId="4">
    <w:name w:val="heading 3"/>
    <w:basedOn w:val="1"/>
    <w:next w:val="1"/>
    <w:link w:val="26"/>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2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Salutation"/>
    <w:basedOn w:val="1"/>
    <w:next w:val="1"/>
    <w:link w:val="24"/>
    <w:qFormat/>
    <w:uiPriority w:val="99"/>
    <w:rPr>
      <w:rFonts w:ascii="宋体" w:eastAsia="仿宋_GB2312"/>
      <w:szCs w:val="20"/>
    </w:rPr>
  </w:style>
  <w:style w:type="paragraph" w:styleId="8">
    <w:name w:val="Body Text"/>
    <w:basedOn w:val="1"/>
    <w:link w:val="22"/>
    <w:qFormat/>
    <w:uiPriority w:val="1"/>
    <w:pPr>
      <w:autoSpaceDE w:val="0"/>
      <w:autoSpaceDN w:val="0"/>
      <w:jc w:val="left"/>
    </w:pPr>
    <w:rPr>
      <w:rFonts w:ascii="宋体" w:hAnsi="宋体" w:cs="宋体"/>
      <w:kern w:val="0"/>
      <w:szCs w:val="21"/>
      <w:lang w:val="zh-CN" w:bidi="zh-CN"/>
    </w:rPr>
  </w:style>
  <w:style w:type="paragraph" w:styleId="9">
    <w:name w:val="Plain Text"/>
    <w:basedOn w:val="1"/>
    <w:link w:val="30"/>
    <w:qFormat/>
    <w:uiPriority w:val="0"/>
    <w:rPr>
      <w:rFonts w:ascii="宋体" w:hAnsi="Courier New" w:cs="Courier New"/>
      <w:szCs w:val="21"/>
    </w:rPr>
  </w:style>
  <w:style w:type="paragraph" w:styleId="10">
    <w:name w:val="Date"/>
    <w:basedOn w:val="1"/>
    <w:next w:val="1"/>
    <w:link w:val="20"/>
    <w:unhideWhenUsed/>
    <w:qFormat/>
    <w:uiPriority w:val="99"/>
    <w:pPr>
      <w:ind w:left="100" w:leftChars="2500"/>
    </w:pPr>
  </w:style>
  <w:style w:type="paragraph" w:styleId="11">
    <w:name w:val="Balloon Text"/>
    <w:basedOn w:val="1"/>
    <w:link w:val="32"/>
    <w:semiHidden/>
    <w:unhideWhenUsed/>
    <w:qFormat/>
    <w:uiPriority w:val="99"/>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widowControl/>
      <w:spacing w:before="100" w:beforeAutospacing="1" w:after="100" w:afterAutospacing="1"/>
      <w:jc w:val="left"/>
    </w:pPr>
    <w:rPr>
      <w:kern w:val="0"/>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日期 Char"/>
    <w:basedOn w:val="17"/>
    <w:link w:val="10"/>
    <w:semiHidden/>
    <w:qFormat/>
    <w:uiPriority w:val="99"/>
    <w:rPr>
      <w:kern w:val="2"/>
      <w:sz w:val="21"/>
      <w:szCs w:val="24"/>
    </w:rPr>
  </w:style>
  <w:style w:type="character" w:customStyle="1" w:styleId="21">
    <w:name w:val="标题 1 Char"/>
    <w:basedOn w:val="17"/>
    <w:link w:val="2"/>
    <w:qFormat/>
    <w:uiPriority w:val="1"/>
    <w:rPr>
      <w:rFonts w:ascii="Microsoft JhengHei" w:hAnsi="Microsoft JhengHei" w:eastAsia="Microsoft JhengHei" w:cs="Microsoft JhengHei"/>
      <w:b/>
      <w:bCs/>
      <w:sz w:val="48"/>
      <w:szCs w:val="48"/>
      <w:lang w:val="zh-CN" w:bidi="zh-CN"/>
    </w:rPr>
  </w:style>
  <w:style w:type="character" w:customStyle="1" w:styleId="22">
    <w:name w:val="正文文本 Char"/>
    <w:basedOn w:val="17"/>
    <w:link w:val="8"/>
    <w:qFormat/>
    <w:uiPriority w:val="1"/>
    <w:rPr>
      <w:rFonts w:ascii="宋体" w:hAnsi="宋体" w:cs="宋体"/>
      <w:sz w:val="21"/>
      <w:szCs w:val="21"/>
      <w:lang w:val="zh-CN" w:bidi="zh-CN"/>
    </w:rPr>
  </w:style>
  <w:style w:type="paragraph" w:styleId="23">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character" w:customStyle="1" w:styleId="24">
    <w:name w:val="称呼 Char"/>
    <w:basedOn w:val="17"/>
    <w:link w:val="7"/>
    <w:qFormat/>
    <w:uiPriority w:val="99"/>
    <w:rPr>
      <w:rFonts w:ascii="宋体" w:eastAsia="仿宋_GB2312"/>
      <w:kern w:val="2"/>
      <w:sz w:val="21"/>
    </w:rPr>
  </w:style>
  <w:style w:type="paragraph" w:customStyle="1" w:styleId="25">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6">
    <w:name w:val="标题 3 Char"/>
    <w:basedOn w:val="17"/>
    <w:link w:val="4"/>
    <w:semiHidden/>
    <w:qFormat/>
    <w:uiPriority w:val="0"/>
    <w:rPr>
      <w:b/>
      <w:bCs/>
      <w:kern w:val="2"/>
      <w:sz w:val="32"/>
      <w:szCs w:val="32"/>
    </w:rPr>
  </w:style>
  <w:style w:type="character" w:customStyle="1" w:styleId="27">
    <w:name w:val="标题 6 Char"/>
    <w:basedOn w:val="17"/>
    <w:link w:val="6"/>
    <w:semiHidden/>
    <w:qFormat/>
    <w:uiPriority w:val="0"/>
    <w:rPr>
      <w:rFonts w:asciiTheme="majorHAnsi" w:hAnsiTheme="majorHAnsi" w:eastAsiaTheme="majorEastAsia" w:cstheme="majorBidi"/>
      <w:b/>
      <w:bCs/>
      <w:kern w:val="2"/>
      <w:sz w:val="24"/>
      <w:szCs w:val="24"/>
    </w:rPr>
  </w:style>
  <w:style w:type="character" w:customStyle="1" w:styleId="28">
    <w:name w:val="标题 4 Char"/>
    <w:basedOn w:val="17"/>
    <w:link w:val="5"/>
    <w:semiHidden/>
    <w:qFormat/>
    <w:uiPriority w:val="0"/>
    <w:rPr>
      <w:rFonts w:asciiTheme="majorHAnsi" w:hAnsiTheme="majorHAnsi" w:eastAsiaTheme="majorEastAsia" w:cstheme="majorBidi"/>
      <w:b/>
      <w:bCs/>
      <w:kern w:val="2"/>
      <w:sz w:val="28"/>
      <w:szCs w:val="28"/>
    </w:rPr>
  </w:style>
  <w:style w:type="paragraph" w:customStyle="1" w:styleId="29">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30">
    <w:name w:val="纯文本 Char"/>
    <w:link w:val="9"/>
    <w:qFormat/>
    <w:locked/>
    <w:uiPriority w:val="0"/>
    <w:rPr>
      <w:rFonts w:ascii="宋体" w:hAnsi="Courier New" w:cs="Courier New"/>
      <w:kern w:val="2"/>
      <w:sz w:val="21"/>
      <w:szCs w:val="21"/>
    </w:rPr>
  </w:style>
  <w:style w:type="character" w:customStyle="1" w:styleId="31">
    <w:name w:val="纯文本 Char1"/>
    <w:basedOn w:val="17"/>
    <w:semiHidden/>
    <w:qFormat/>
    <w:uiPriority w:val="99"/>
    <w:rPr>
      <w:rFonts w:ascii="宋体" w:hAnsi="Courier New" w:cs="Courier New"/>
      <w:kern w:val="2"/>
      <w:sz w:val="21"/>
      <w:szCs w:val="21"/>
    </w:rPr>
  </w:style>
  <w:style w:type="character" w:customStyle="1" w:styleId="32">
    <w:name w:val="批注框文本 Char"/>
    <w:basedOn w:val="17"/>
    <w:link w:val="11"/>
    <w:semiHidden/>
    <w:qFormat/>
    <w:uiPriority w:val="99"/>
    <w:rPr>
      <w:kern w:val="2"/>
      <w:sz w:val="18"/>
      <w:szCs w:val="18"/>
    </w:rPr>
  </w:style>
  <w:style w:type="character" w:customStyle="1" w:styleId="33">
    <w:name w:val="font61"/>
    <w:basedOn w:val="17"/>
    <w:qFormat/>
    <w:uiPriority w:val="0"/>
    <w:rPr>
      <w:rFonts w:hint="eastAsia" w:ascii="等线" w:hAnsi="等线" w:eastAsia="等线" w:cs="等线"/>
      <w:color w:val="000000"/>
      <w:sz w:val="22"/>
      <w:szCs w:val="22"/>
      <w:u w:val="none"/>
    </w:rPr>
  </w:style>
  <w:style w:type="character" w:customStyle="1" w:styleId="34">
    <w:name w:val="font11"/>
    <w:basedOn w:val="1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152B-7E76-4F0D-93DE-05960B55AB5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28</Pages>
  <Words>10350</Words>
  <Characters>10873</Characters>
  <Lines>136</Lines>
  <Paragraphs>38</Paragraphs>
  <TotalTime>17</TotalTime>
  <ScaleCrop>false</ScaleCrop>
  <LinksUpToDate>false</LinksUpToDate>
  <CharactersWithSpaces>12756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2019-10-11T02:47:00Z</dcterms:created>
  <dc:creator>KGB</dc:creator>
  <cp:lastModifiedBy>探戈</cp:lastModifiedBy>
  <cp:lastPrinted>2019-12-17T03:39:00Z</cp:lastPrinted>
  <dcterms:modified xsi:type="dcterms:W3CDTF">2023-09-07T09:33:17Z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FB125BEE4BFB47578B14D12E5812B8C1_13</vt:lpwstr>
  </property>
</Properties>
</file>