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36"/>
          <w:szCs w:val="36"/>
        </w:rPr>
      </w:pPr>
      <w:r>
        <w:rPr>
          <w:rFonts w:hint="eastAsia" w:ascii="黑体" w:hAnsi="黑体" w:eastAsia="黑体" w:cs="宋体"/>
          <w:b/>
          <w:color w:val="000000"/>
          <w:w w:val="90"/>
          <w:kern w:val="0"/>
          <w:sz w:val="36"/>
          <w:szCs w:val="36"/>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ascii="宋体" w:hAnsi="宋体"/>
          <w:b w:val="0"/>
          <w:bCs w:val="0"/>
          <w:sz w:val="44"/>
          <w:szCs w:val="44"/>
        </w:rPr>
      </w:pPr>
      <w:r>
        <w:rPr>
          <w:rFonts w:hint="eastAsia" w:ascii="宋体" w:hAnsi="宋体"/>
          <w:b w:val="0"/>
          <w:bCs w:val="0"/>
          <w:sz w:val="44"/>
          <w:szCs w:val="44"/>
          <w:lang w:val="en-US" w:eastAsia="zh-CN"/>
        </w:rPr>
        <w:t>生态盐分级分筛车间建设项目</w:t>
      </w:r>
      <w:r>
        <w:rPr>
          <w:rFonts w:hint="eastAsia" w:ascii="新宋体" w:hAnsi="新宋体" w:eastAsia="新宋体" w:cs="新宋体"/>
          <w:snapToGrid w:val="0"/>
          <w:kern w:val="0"/>
          <w:sz w:val="44"/>
          <w:szCs w:val="44"/>
          <w:lang w:eastAsia="zh-CN"/>
        </w:rPr>
        <w:t>平面回旋筛</w:t>
      </w:r>
    </w:p>
    <w:p>
      <w:pPr>
        <w:spacing w:line="360" w:lineRule="auto"/>
        <w:jc w:val="center"/>
        <w:rPr>
          <w:rFonts w:ascii="黑体" w:hAnsi="黑体" w:eastAsia="黑体"/>
          <w:b/>
          <w:sz w:val="28"/>
          <w:szCs w:val="28"/>
        </w:rPr>
      </w:pP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72"/>
          <w:szCs w:val="72"/>
        </w:rPr>
        <w:t>招</w:t>
      </w:r>
      <w:r>
        <w:rPr>
          <w:rFonts w:hint="eastAsia" w:ascii="黑体" w:hAnsi="黑体" w:eastAsia="黑体"/>
          <w:b/>
          <w:sz w:val="72"/>
          <w:szCs w:val="72"/>
          <w:lang w:val="en-US" w:eastAsia="zh-CN"/>
        </w:rPr>
        <w:t xml:space="preserve"> </w:t>
      </w:r>
      <w:r>
        <w:rPr>
          <w:rFonts w:hint="eastAsia" w:ascii="黑体" w:hAnsi="黑体" w:eastAsia="黑体"/>
          <w:b/>
          <w:sz w:val="72"/>
          <w:szCs w:val="72"/>
        </w:rPr>
        <w:t>标</w:t>
      </w:r>
      <w:r>
        <w:rPr>
          <w:rFonts w:hint="eastAsia" w:ascii="黑体" w:hAnsi="黑体" w:eastAsia="黑体"/>
          <w:b/>
          <w:sz w:val="72"/>
          <w:szCs w:val="72"/>
          <w:lang w:val="en-US" w:eastAsia="zh-CN"/>
        </w:rPr>
        <w:t xml:space="preserve"> </w:t>
      </w:r>
      <w:r>
        <w:rPr>
          <w:rFonts w:hint="eastAsia" w:ascii="黑体" w:hAnsi="黑体" w:eastAsia="黑体"/>
          <w:b/>
          <w:sz w:val="72"/>
          <w:szCs w:val="72"/>
        </w:rPr>
        <w:t>文</w:t>
      </w:r>
      <w:r>
        <w:rPr>
          <w:rFonts w:hint="eastAsia" w:ascii="黑体" w:hAnsi="黑体" w:eastAsia="黑体"/>
          <w:b/>
          <w:sz w:val="72"/>
          <w:szCs w:val="72"/>
          <w:lang w:val="en-US" w:eastAsia="zh-CN"/>
        </w:rPr>
        <w:t xml:space="preserve"> </w:t>
      </w:r>
      <w:r>
        <w:rPr>
          <w:rFonts w:hint="eastAsia" w:ascii="黑体" w:hAnsi="黑体" w:eastAsia="黑体"/>
          <w:b/>
          <w:sz w:val="72"/>
          <w:szCs w:val="7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8</w:t>
      </w:r>
      <w:r>
        <w:rPr>
          <w:rFonts w:hint="eastAsia" w:asciiTheme="minorEastAsia" w:hAnsiTheme="minorEastAsia" w:eastAsiaTheme="minorEastAsia"/>
          <w:b/>
          <w:color w:val="auto"/>
          <w:sz w:val="28"/>
          <w:szCs w:val="28"/>
        </w:rPr>
        <w:t>月10日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9"/>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9"/>
        <w:adjustRightInd w:val="0"/>
        <w:snapToGrid w:val="0"/>
        <w:spacing w:line="360" w:lineRule="auto"/>
        <w:rPr>
          <w:rFonts w:hAnsi="宋体"/>
          <w:b/>
          <w:sz w:val="24"/>
          <w:szCs w:val="24"/>
        </w:rPr>
      </w:pPr>
    </w:p>
    <w:p>
      <w:pPr>
        <w:pStyle w:val="9"/>
        <w:adjustRightInd w:val="0"/>
        <w:snapToGrid w:val="0"/>
        <w:spacing w:line="360" w:lineRule="auto"/>
        <w:rPr>
          <w:rFonts w:hAnsi="宋体"/>
          <w:b/>
          <w:sz w:val="24"/>
          <w:szCs w:val="24"/>
        </w:rPr>
      </w:pPr>
      <w:r>
        <w:rPr>
          <w:rFonts w:hint="eastAsia" w:hAnsi="宋体"/>
          <w:b/>
          <w:sz w:val="24"/>
          <w:szCs w:val="24"/>
        </w:rPr>
        <w:t>第一章  投标邀请</w:t>
      </w:r>
    </w:p>
    <w:p>
      <w:pPr>
        <w:pStyle w:val="9"/>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9"/>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9"/>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lang w:val="en-US" w:eastAsia="zh-CN"/>
        </w:rPr>
        <w:t>生态盐分级分筛建设项目平面回旋筛</w:t>
      </w:r>
      <w:r>
        <w:rPr>
          <w:sz w:val="24"/>
        </w:rPr>
        <w:t>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w:t>
      </w:r>
      <w:r>
        <w:rPr>
          <w:rFonts w:hint="eastAsia"/>
          <w:sz w:val="24"/>
          <w:lang w:val="en-US" w:eastAsia="zh-CN"/>
        </w:rPr>
        <w:t>生态盐分级分筛建设项目</w:t>
      </w:r>
      <w:r>
        <w:rPr>
          <w:rFonts w:hint="eastAsia"/>
          <w:sz w:val="24"/>
          <w:szCs w:val="24"/>
          <w:lang w:val="en-US" w:eastAsia="zh-CN"/>
        </w:rPr>
        <w:t>相关设备采购、设备平台及管路</w:t>
      </w:r>
      <w:r>
        <w:rPr>
          <w:rFonts w:hint="eastAsia"/>
          <w:sz w:val="24"/>
        </w:rPr>
        <w:t>制作</w:t>
      </w:r>
      <w:r>
        <w:rPr>
          <w:rFonts w:hint="eastAsia"/>
          <w:sz w:val="24"/>
          <w:lang w:val="en-US" w:eastAsia="zh-CN"/>
        </w:rPr>
        <w:t>和</w:t>
      </w:r>
      <w:r>
        <w:rPr>
          <w:rFonts w:hint="eastAsia"/>
          <w:sz w:val="24"/>
        </w:rPr>
        <w:t>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平面回旋筛3套</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sz w:val="24"/>
          <w:lang w:val="en-US" w:eastAsia="zh-CN"/>
        </w:rPr>
        <w:t>30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3"/>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3"/>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平面回旋筛制造、安装</w:t>
      </w:r>
      <w:r>
        <w:rPr>
          <w:sz w:val="24"/>
        </w:rPr>
        <w:t>业绩</w:t>
      </w:r>
      <w:r>
        <w:rPr>
          <w:rFonts w:hint="eastAsia"/>
          <w:sz w:val="24"/>
        </w:rPr>
        <w:t>。</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12</w:t>
      </w:r>
      <w:r>
        <w:rPr>
          <w:rFonts w:hint="eastAsia"/>
          <w:color w:val="auto"/>
          <w:sz w:val="24"/>
        </w:rPr>
        <w:t>日</w:t>
      </w:r>
      <w:r>
        <w:rPr>
          <w:rFonts w:hint="eastAsia"/>
          <w:color w:val="auto"/>
          <w:sz w:val="24"/>
          <w:lang w:val="en-US" w:eastAsia="zh-CN"/>
        </w:rPr>
        <w:t>9</w:t>
      </w:r>
      <w:r>
        <w:rPr>
          <w:rFonts w:hint="eastAsia"/>
          <w:color w:val="auto"/>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质量部会议室</w:t>
      </w:r>
      <w:r>
        <w:rPr>
          <w:rFonts w:hint="eastAsia"/>
          <w:sz w:val="24"/>
        </w:rPr>
        <w:t>。</w:t>
      </w:r>
    </w:p>
    <w:p>
      <w:pPr>
        <w:spacing w:line="480" w:lineRule="exact"/>
        <w:ind w:right="454"/>
        <w:rPr>
          <w:color w:val="FF0000"/>
          <w:sz w:val="24"/>
        </w:rPr>
      </w:pPr>
      <w:r>
        <w:rPr>
          <w:rFonts w:hint="eastAsia"/>
          <w:sz w:val="24"/>
        </w:rPr>
        <w:t>（4）开标时间：</w:t>
      </w:r>
      <w:r>
        <w:rPr>
          <w:rFonts w:hint="eastAsia"/>
          <w:b w:val="0"/>
          <w:bCs w:val="0"/>
          <w:color w:val="auto"/>
          <w:sz w:val="24"/>
        </w:rPr>
        <w:t>20</w:t>
      </w:r>
      <w:r>
        <w:rPr>
          <w:rFonts w:hint="eastAsia"/>
          <w:b w:val="0"/>
          <w:bCs w:val="0"/>
          <w:color w:val="auto"/>
          <w:sz w:val="24"/>
          <w:lang w:val="en-US" w:eastAsia="zh-CN"/>
        </w:rPr>
        <w:t>23</w:t>
      </w:r>
      <w:r>
        <w:rPr>
          <w:rFonts w:hint="eastAsia"/>
          <w:b w:val="0"/>
          <w:bCs w:val="0"/>
          <w:color w:val="auto"/>
          <w:sz w:val="24"/>
        </w:rPr>
        <w:t>年</w:t>
      </w:r>
      <w:r>
        <w:rPr>
          <w:rFonts w:hint="eastAsia"/>
          <w:b w:val="0"/>
          <w:bCs w:val="0"/>
          <w:color w:val="auto"/>
          <w:sz w:val="24"/>
          <w:lang w:val="en-US" w:eastAsia="zh-CN"/>
        </w:rPr>
        <w:t>9</w:t>
      </w:r>
      <w:r>
        <w:rPr>
          <w:rFonts w:hint="eastAsia"/>
          <w:b w:val="0"/>
          <w:bCs w:val="0"/>
          <w:color w:val="auto"/>
          <w:sz w:val="24"/>
        </w:rPr>
        <w:t>月</w:t>
      </w:r>
      <w:r>
        <w:rPr>
          <w:rFonts w:hint="eastAsia"/>
          <w:b w:val="0"/>
          <w:bCs w:val="0"/>
          <w:color w:val="auto"/>
          <w:sz w:val="24"/>
          <w:lang w:val="en-US" w:eastAsia="zh-CN"/>
        </w:rPr>
        <w:t>12</w:t>
      </w:r>
      <w:bookmarkStart w:id="143" w:name="_GoBack"/>
      <w:bookmarkEnd w:id="143"/>
      <w:r>
        <w:rPr>
          <w:rFonts w:hint="eastAsia"/>
          <w:b w:val="0"/>
          <w:bCs w:val="0"/>
          <w:color w:val="auto"/>
          <w:sz w:val="24"/>
        </w:rPr>
        <w:t>日</w:t>
      </w:r>
      <w:r>
        <w:rPr>
          <w:rFonts w:hint="eastAsia"/>
          <w:b w:val="0"/>
          <w:bCs w:val="0"/>
          <w:color w:val="auto"/>
          <w:sz w:val="24"/>
          <w:lang w:val="en-US" w:eastAsia="zh-CN"/>
        </w:rPr>
        <w:t>9</w:t>
      </w:r>
      <w:r>
        <w:rPr>
          <w:rFonts w:hint="eastAsia"/>
          <w:b w:val="0"/>
          <w:bCs w:val="0"/>
          <w:color w:val="auto"/>
          <w:sz w:val="24"/>
        </w:rPr>
        <w:t>:00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FF0000"/>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8</w:t>
      </w:r>
      <w:r>
        <w:rPr>
          <w:rFonts w:hint="eastAsia"/>
          <w:color w:val="auto"/>
          <w:sz w:val="24"/>
        </w:rPr>
        <w:t>月</w:t>
      </w:r>
      <w:r>
        <w:rPr>
          <w:rFonts w:hint="eastAsia"/>
          <w:color w:val="auto"/>
          <w:sz w:val="24"/>
          <w:lang w:val="en-US" w:eastAsia="zh-CN"/>
        </w:rPr>
        <w:t>10</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w:t>
      </w:r>
      <w:r>
        <w:rPr>
          <w:rFonts w:hint="eastAsia"/>
          <w:sz w:val="24"/>
          <w:lang w:val="en-US" w:eastAsia="zh-CN"/>
        </w:rPr>
        <w:t>生态盐分级分筛建设项目平面回旋筛</w:t>
      </w:r>
      <w:r>
        <w:rPr>
          <w:rFonts w:hint="eastAsia"/>
          <w:sz w:val="24"/>
          <w:szCs w:val="24"/>
          <w:lang w:val="en-US" w:eastAsia="zh-CN"/>
        </w:rPr>
        <w:t>相关设备采购、设备平台及管路</w:t>
      </w:r>
      <w:r>
        <w:rPr>
          <w:rFonts w:hint="eastAsia"/>
          <w:sz w:val="24"/>
        </w:rPr>
        <w:t>制作</w:t>
      </w:r>
      <w:r>
        <w:rPr>
          <w:rFonts w:hint="eastAsia"/>
          <w:sz w:val="24"/>
          <w:lang w:val="en-US" w:eastAsia="zh-CN"/>
        </w:rPr>
        <w:t>和</w:t>
      </w:r>
      <w:r>
        <w:rPr>
          <w:rFonts w:hint="eastAsia"/>
          <w:sz w:val="24"/>
        </w:rPr>
        <w:t>安装。</w:t>
      </w:r>
    </w:p>
    <w:p>
      <w:pPr>
        <w:pStyle w:val="23"/>
        <w:spacing w:before="58" w:line="460" w:lineRule="exact"/>
        <w:ind w:left="0" w:firstLine="0"/>
        <w:rPr>
          <w:sz w:val="24"/>
        </w:rPr>
      </w:pPr>
      <w:r>
        <w:rPr>
          <w:rFonts w:hint="eastAsia"/>
          <w:sz w:val="24"/>
        </w:rPr>
        <w:t>二、投标人资格：</w:t>
      </w:r>
    </w:p>
    <w:p>
      <w:pPr>
        <w:pStyle w:val="23"/>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3"/>
        <w:tabs>
          <w:tab w:val="left" w:pos="1441"/>
        </w:tabs>
        <w:spacing w:before="66" w:line="460" w:lineRule="exact"/>
        <w:ind w:left="0" w:firstLine="0"/>
        <w:rPr>
          <w:sz w:val="24"/>
        </w:rPr>
      </w:pPr>
      <w:r>
        <w:rPr>
          <w:sz w:val="24"/>
        </w:rPr>
        <w:t>财务状态要求：具有良好的商业信誉和健全的财务会计制度</w:t>
      </w:r>
    </w:p>
    <w:p>
      <w:pPr>
        <w:pStyle w:val="23"/>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一项同类型</w:t>
      </w:r>
      <w:r>
        <w:rPr>
          <w:rFonts w:hint="eastAsia"/>
          <w:sz w:val="24"/>
          <w:lang w:val="en-US" w:eastAsia="zh-CN"/>
        </w:rPr>
        <w:t>平面回旋筛制作</w:t>
      </w:r>
      <w:r>
        <w:rPr>
          <w:sz w:val="24"/>
        </w:rPr>
        <w:t>业绩</w:t>
      </w:r>
      <w:r>
        <w:rPr>
          <w:rFonts w:hint="eastAsia"/>
          <w:sz w:val="24"/>
        </w:rPr>
        <w:t>。</w:t>
      </w:r>
    </w:p>
    <w:p>
      <w:pPr>
        <w:pStyle w:val="23"/>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hint="eastAsia" w:ascii="宋体" w:hAnsi="宋体"/>
          <w:color w:val="000000"/>
          <w:sz w:val="24"/>
          <w:lang w:val="en-US" w:eastAsia="zh-CN"/>
        </w:rPr>
        <w:t>30</w:t>
      </w:r>
      <w:r>
        <w:rPr>
          <w:rFonts w:hint="eastAsia" w:ascii="宋体" w:hAnsi="宋体"/>
          <w:color w:val="000000"/>
          <w:sz w:val="24"/>
        </w:rPr>
        <w:t>天内交货，交货地点为湖南省湘澧盐化有限责任公司</w:t>
      </w:r>
      <w:r>
        <w:rPr>
          <w:rFonts w:hint="eastAsia" w:ascii="宋体" w:hAnsi="宋体"/>
          <w:color w:val="000000"/>
          <w:sz w:val="24"/>
          <w:lang w:val="en-US" w:eastAsia="zh-CN"/>
        </w:rPr>
        <w:t>包装厂前坪</w:t>
      </w:r>
      <w:r>
        <w:rPr>
          <w:rFonts w:hint="eastAsia" w:ascii="宋体" w:hAnsi="宋体"/>
          <w:color w:val="000000"/>
          <w:sz w:val="24"/>
        </w:rPr>
        <w:t>。</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w:t>
      </w:r>
      <w:r>
        <w:rPr>
          <w:rFonts w:hint="eastAsia" w:ascii="宋体" w:hAnsi="宋体"/>
          <w:color w:val="000000"/>
          <w:sz w:val="24"/>
          <w:lang w:val="en-US" w:eastAsia="zh-CN"/>
        </w:rPr>
        <w:t>维修或</w:t>
      </w:r>
      <w:r>
        <w:rPr>
          <w:rFonts w:hint="eastAsia" w:ascii="宋体" w:hAnsi="宋体"/>
          <w:color w:val="000000"/>
          <w:sz w:val="24"/>
        </w:rPr>
        <w:t>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w:t>
      </w:r>
      <w:r>
        <w:rPr>
          <w:rFonts w:hint="eastAsia" w:ascii="宋体" w:hAnsi="宋体"/>
          <w:color w:val="000000"/>
          <w:sz w:val="24"/>
          <w:lang w:val="en-US" w:eastAsia="zh-CN"/>
        </w:rPr>
        <w:t>到</w:t>
      </w:r>
      <w:r>
        <w:rPr>
          <w:rFonts w:hint="eastAsia" w:ascii="宋体" w:hAnsi="宋体"/>
          <w:color w:val="000000"/>
          <w:sz w:val="24"/>
        </w:rPr>
        <w:t>60%，安装验收合格后支付至合同价款的90%，留10%的质保金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w:t>
      </w:r>
      <w:r>
        <w:rPr>
          <w:rFonts w:hint="eastAsia"/>
          <w:b w:val="0"/>
          <w:bCs w:val="0"/>
          <w:color w:val="auto"/>
          <w:sz w:val="24"/>
          <w:lang w:val="en-US" w:eastAsia="zh-CN"/>
        </w:rPr>
        <w:t>180万（壹佰捌拾万元整）</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w:t>
      </w:r>
      <w:r>
        <w:rPr>
          <w:rFonts w:hint="eastAsia" w:ascii="宋体" w:hAnsi="宋体"/>
          <w:sz w:val="24"/>
          <w:lang w:val="en-US" w:eastAsia="zh-CN"/>
        </w:rPr>
        <w:t>二</w:t>
      </w:r>
      <w:r>
        <w:rPr>
          <w:rFonts w:hint="eastAsia" w:ascii="宋体" w:hAnsi="宋体"/>
          <w:sz w:val="24"/>
        </w:rPr>
        <w:t>份，其中正本</w:t>
      </w:r>
      <w:r>
        <w:rPr>
          <w:rFonts w:ascii="宋体" w:hAnsi="宋体"/>
          <w:sz w:val="24"/>
        </w:rPr>
        <w:t>1</w:t>
      </w:r>
      <w:r>
        <w:rPr>
          <w:rFonts w:hint="eastAsia" w:ascii="宋体" w:hAnsi="宋体"/>
          <w:sz w:val="24"/>
        </w:rPr>
        <w:t>份，副本</w:t>
      </w:r>
      <w:r>
        <w:rPr>
          <w:rFonts w:hint="eastAsia" w:ascii="宋体" w:hAnsi="宋体"/>
          <w:sz w:val="24"/>
          <w:lang w:val="en-US" w:eastAsia="zh-CN"/>
        </w:rPr>
        <w:t>1</w:t>
      </w:r>
      <w:r>
        <w:rPr>
          <w:rFonts w:hint="eastAsia" w:ascii="宋体" w:hAnsi="宋体"/>
          <w:sz w:val="24"/>
        </w:rPr>
        <w:t>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w:t>
      </w:r>
      <w:r>
        <w:rPr>
          <w:rFonts w:hint="eastAsia" w:ascii="宋体" w:hAnsi="宋体"/>
          <w:color w:val="000000"/>
          <w:sz w:val="24"/>
          <w:lang w:val="en-US" w:eastAsia="zh-CN"/>
        </w:rPr>
        <w:t>柒</w:t>
      </w:r>
      <w:r>
        <w:rPr>
          <w:rFonts w:hint="eastAsia" w:ascii="宋体" w:hAnsi="宋体"/>
          <w:color w:val="000000"/>
          <w:sz w:val="24"/>
        </w:rPr>
        <w:t>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10"/>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评标委员会对满足招标文件实质性要求的投标文件，按照本</w:t>
      </w:r>
      <w:r>
        <w:rPr>
          <w:rFonts w:hint="eastAsia"/>
          <w:sz w:val="24"/>
        </w:rPr>
        <w:t>评标办法设定</w:t>
      </w:r>
      <w:r>
        <w:rPr>
          <w:sz w:val="24"/>
        </w:rPr>
        <w:t>的评标标准进行评分，并按得分由高到低顺序推荐中标候选人，或根据招标人授权直接确定中标人，但投标报价低于其成本的除外。综合评分相等时，以投标报价低的优先；投标报价也相等的技术得分高的优先。如果技术得分也相同，由招标人自行确定。</w:t>
      </w:r>
    </w:p>
    <w:p>
      <w:pPr>
        <w:spacing w:line="360" w:lineRule="auto"/>
        <w:rPr>
          <w:rFonts w:hint="eastAsia"/>
          <w:sz w:val="24"/>
        </w:rPr>
      </w:pPr>
      <w:r>
        <w:rPr>
          <w:rFonts w:hint="eastAsia"/>
          <w:sz w:val="24"/>
        </w:rPr>
        <w:t>2.投标文件的初步审查</w:t>
      </w:r>
    </w:p>
    <w:p>
      <w:pPr>
        <w:spacing w:line="360" w:lineRule="auto"/>
        <w:rPr>
          <w:rFonts w:hint="eastAsia"/>
          <w:sz w:val="24"/>
        </w:rPr>
      </w:pPr>
      <w:r>
        <w:rPr>
          <w:rFonts w:hint="eastAsia"/>
          <w:sz w:val="24"/>
        </w:rPr>
        <w:t>2.1初步审查分为资格性检查和符合性检查。</w:t>
      </w:r>
    </w:p>
    <w:p>
      <w:pPr>
        <w:spacing w:line="360" w:lineRule="auto"/>
        <w:rPr>
          <w:rFonts w:hint="eastAsia"/>
          <w:sz w:val="24"/>
        </w:rPr>
      </w:pPr>
      <w:r>
        <w:rPr>
          <w:rFonts w:hint="eastAsia"/>
          <w:sz w:val="24"/>
        </w:rPr>
        <w:t>（1）资格性检查。根据法律法规和招标文件的规定，评标委员会对投标文件中的资格证明等进行审查，以确定投标人是否具备投标资格。</w:t>
      </w:r>
    </w:p>
    <w:p>
      <w:pPr>
        <w:spacing w:line="360" w:lineRule="auto"/>
        <w:rPr>
          <w:rFonts w:hint="eastAsia"/>
          <w:sz w:val="24"/>
        </w:rPr>
      </w:pPr>
      <w:r>
        <w:rPr>
          <w:rFonts w:hint="eastAsia"/>
          <w:sz w:val="24"/>
        </w:rPr>
        <w:t>（2）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spacing w:line="360" w:lineRule="auto"/>
        <w:rPr>
          <w:rFonts w:hint="eastAsia"/>
          <w:sz w:val="24"/>
        </w:rPr>
      </w:pPr>
      <w:r>
        <w:rPr>
          <w:rFonts w:hint="eastAsia"/>
          <w:sz w:val="24"/>
        </w:rPr>
        <w:t>（3）实质上没有响应招标文件要求的投标将被否决。投标人不得通过修正、补充或撤销不合要求的偏离或保留从而使其投标成为实质上响应的投标。</w:t>
      </w:r>
    </w:p>
    <w:p>
      <w:pPr>
        <w:spacing w:line="360" w:lineRule="auto"/>
        <w:rPr>
          <w:rFonts w:hint="eastAsia"/>
          <w:sz w:val="24"/>
        </w:rPr>
      </w:pPr>
      <w:r>
        <w:rPr>
          <w:rFonts w:hint="eastAsia"/>
          <w:sz w:val="24"/>
        </w:rPr>
        <w:t>2.2投标文件有下列情形之一的，评标委员会应当否决其投标：</w:t>
      </w:r>
    </w:p>
    <w:p>
      <w:pPr>
        <w:spacing w:line="360" w:lineRule="auto"/>
        <w:rPr>
          <w:rFonts w:hint="eastAsia"/>
          <w:sz w:val="24"/>
        </w:rPr>
      </w:pPr>
      <w:r>
        <w:rPr>
          <w:rFonts w:hint="eastAsia"/>
          <w:sz w:val="24"/>
        </w:rPr>
        <w:t>（1）投标人不符合国家或者招标文件规定的资格条件的；</w:t>
      </w:r>
    </w:p>
    <w:p>
      <w:pPr>
        <w:spacing w:line="360" w:lineRule="auto"/>
        <w:rPr>
          <w:rFonts w:hint="eastAsia"/>
          <w:sz w:val="24"/>
        </w:rPr>
      </w:pPr>
      <w:r>
        <w:rPr>
          <w:rFonts w:hint="eastAsia"/>
          <w:sz w:val="24"/>
        </w:rPr>
        <w:t>（2）同一投标人提交两个以上不同的投标报价。</w:t>
      </w:r>
    </w:p>
    <w:p>
      <w:pPr>
        <w:spacing w:line="360" w:lineRule="auto"/>
        <w:rPr>
          <w:rFonts w:hint="eastAsia"/>
          <w:sz w:val="24"/>
        </w:rPr>
      </w:pPr>
      <w:r>
        <w:rPr>
          <w:rFonts w:hint="eastAsia"/>
          <w:sz w:val="24"/>
        </w:rPr>
        <w:t>（3）投标文件不满足招标文件中用文字规定或标注“★”符号的实质性要求的；</w:t>
      </w:r>
    </w:p>
    <w:p>
      <w:pPr>
        <w:spacing w:line="360" w:lineRule="auto"/>
        <w:rPr>
          <w:rFonts w:hint="eastAsia"/>
          <w:sz w:val="24"/>
        </w:rPr>
      </w:pPr>
      <w:r>
        <w:rPr>
          <w:rFonts w:hint="eastAsia"/>
          <w:sz w:val="24"/>
        </w:rPr>
        <w:t>（4）投标文件中非实质性要求条款超出允许偏离的最大范围或最高项数的；</w:t>
      </w:r>
    </w:p>
    <w:p>
      <w:pPr>
        <w:spacing w:line="360" w:lineRule="auto"/>
        <w:rPr>
          <w:rFonts w:hint="eastAsia"/>
          <w:sz w:val="24"/>
        </w:rPr>
      </w:pPr>
      <w:r>
        <w:rPr>
          <w:rFonts w:hint="eastAsia"/>
          <w:sz w:val="24"/>
        </w:rPr>
        <w:t>（5）投标报价高于招标文件设定的最高投标限价的；</w:t>
      </w:r>
    </w:p>
    <w:p>
      <w:pPr>
        <w:spacing w:line="360" w:lineRule="auto"/>
        <w:rPr>
          <w:rFonts w:hint="eastAsia"/>
          <w:sz w:val="24"/>
        </w:rPr>
      </w:pPr>
      <w:r>
        <w:rPr>
          <w:rFonts w:hint="eastAsia"/>
          <w:sz w:val="24"/>
        </w:rPr>
        <w:t>（6）投标有效期不足的；</w:t>
      </w:r>
    </w:p>
    <w:p>
      <w:pPr>
        <w:spacing w:line="360" w:lineRule="auto"/>
        <w:rPr>
          <w:rFonts w:hint="eastAsia"/>
          <w:sz w:val="24"/>
        </w:rPr>
      </w:pPr>
      <w:r>
        <w:rPr>
          <w:rFonts w:hint="eastAsia"/>
          <w:sz w:val="24"/>
        </w:rPr>
        <w:t>（7）不符合法律、法规和招标文件规定的。</w:t>
      </w:r>
    </w:p>
    <w:p>
      <w:pPr>
        <w:spacing w:line="360" w:lineRule="auto"/>
        <w:rPr>
          <w:rFonts w:hint="eastAsia"/>
          <w:sz w:val="24"/>
        </w:rPr>
      </w:pPr>
      <w:r>
        <w:rPr>
          <w:rFonts w:hint="eastAsia"/>
          <w:sz w:val="24"/>
        </w:rPr>
        <w:t>2.3串通投标的认定</w:t>
      </w:r>
    </w:p>
    <w:p>
      <w:pPr>
        <w:spacing w:line="360" w:lineRule="auto"/>
        <w:rPr>
          <w:rFonts w:hint="eastAsia"/>
          <w:sz w:val="24"/>
        </w:rPr>
      </w:pPr>
      <w:r>
        <w:rPr>
          <w:rFonts w:hint="eastAsia"/>
          <w:sz w:val="24"/>
        </w:rPr>
        <w:t>有下列情形之一的，经评标委员会集体表决后认定，视为投标人相互串通投标：</w:t>
      </w:r>
    </w:p>
    <w:p>
      <w:pPr>
        <w:spacing w:line="360" w:lineRule="auto"/>
        <w:rPr>
          <w:rFonts w:hint="eastAsia"/>
          <w:sz w:val="24"/>
        </w:rPr>
      </w:pPr>
      <w:r>
        <w:rPr>
          <w:rFonts w:hint="eastAsia"/>
          <w:sz w:val="24"/>
        </w:rPr>
        <w:t>（1）不同投标人的投标文件异常一致或者投标报价呈规律性差异；</w:t>
      </w:r>
    </w:p>
    <w:p>
      <w:pPr>
        <w:spacing w:line="360" w:lineRule="auto"/>
        <w:rPr>
          <w:rFonts w:hint="eastAsia"/>
          <w:sz w:val="24"/>
        </w:rPr>
      </w:pPr>
      <w:r>
        <w:rPr>
          <w:rFonts w:hint="eastAsia"/>
          <w:sz w:val="24"/>
        </w:rPr>
        <w:t>（2）不同投标人的投标文件由同一单位或者同一个人编制；</w:t>
      </w:r>
    </w:p>
    <w:p>
      <w:pPr>
        <w:spacing w:line="360" w:lineRule="auto"/>
        <w:rPr>
          <w:rFonts w:hint="eastAsia"/>
          <w:sz w:val="24"/>
        </w:rPr>
      </w:pPr>
      <w:r>
        <w:rPr>
          <w:rFonts w:hint="eastAsia"/>
          <w:sz w:val="24"/>
        </w:rPr>
        <w:t>（3）不同投标人委托同一单位或者个人办理投标事宜；</w:t>
      </w:r>
    </w:p>
    <w:p>
      <w:pPr>
        <w:spacing w:line="360" w:lineRule="auto"/>
        <w:rPr>
          <w:rFonts w:hint="eastAsia"/>
          <w:sz w:val="24"/>
        </w:rPr>
      </w:pPr>
      <w:r>
        <w:rPr>
          <w:rFonts w:hint="eastAsia"/>
          <w:sz w:val="24"/>
        </w:rPr>
        <w:t>（4）不同投标人的投标文件载明的项目管理成员为同一人；</w:t>
      </w:r>
    </w:p>
    <w:p>
      <w:pPr>
        <w:spacing w:line="360" w:lineRule="auto"/>
        <w:rPr>
          <w:rFonts w:hint="eastAsia"/>
          <w:sz w:val="24"/>
        </w:rPr>
      </w:pPr>
      <w:r>
        <w:rPr>
          <w:rFonts w:hint="eastAsia"/>
          <w:sz w:val="24"/>
        </w:rPr>
        <w:t>（5）不同投标人的投标文件相互混装；</w:t>
      </w:r>
    </w:p>
    <w:p>
      <w:pPr>
        <w:spacing w:line="360" w:lineRule="auto"/>
        <w:rPr>
          <w:rFonts w:hint="eastAsia"/>
          <w:sz w:val="24"/>
        </w:rPr>
      </w:pPr>
      <w:r>
        <w:rPr>
          <w:rFonts w:hint="eastAsia"/>
          <w:sz w:val="24"/>
        </w:rPr>
        <w:t>（6）不同投标人的投标保证金从同一单位或者个人账户转出；</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spacing w:before="4" w:line="360" w:lineRule="auto"/>
        <w:ind w:left="120"/>
        <w:rPr>
          <w:sz w:val="24"/>
        </w:rPr>
      </w:pPr>
      <w:r>
        <w:rPr>
          <w:rFonts w:hint="eastAsia"/>
          <w:sz w:val="24"/>
        </w:rPr>
        <w:t>4综合评价</w:t>
      </w:r>
    </w:p>
    <w:p>
      <w:pPr>
        <w:spacing w:before="4" w:line="360" w:lineRule="auto"/>
        <w:ind w:left="120"/>
        <w:rPr>
          <w:sz w:val="24"/>
        </w:rPr>
      </w:pPr>
      <w:r>
        <w:rPr>
          <w:rFonts w:hint="eastAsia"/>
          <w:sz w:val="24"/>
        </w:rPr>
        <w:t>4.1评标权重</w:t>
      </w:r>
    </w:p>
    <w:tbl>
      <w:tblPr>
        <w:tblStyle w:val="15"/>
        <w:tblW w:w="8589" w:type="dxa"/>
        <w:tblInd w:w="1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65"/>
        <w:gridCol w:w="4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589" w:type="dxa"/>
            <w:gridSpan w:val="2"/>
            <w:vAlign w:val="center"/>
          </w:tcPr>
          <w:p>
            <w:pPr>
              <w:pStyle w:val="25"/>
              <w:spacing w:before="6" w:line="290" w:lineRule="exact"/>
              <w:ind w:left="5"/>
              <w:jc w:val="center"/>
              <w:rPr>
                <w:sz w:val="24"/>
              </w:rPr>
            </w:pPr>
            <w:r>
              <w:rPr>
                <w:sz w:val="24"/>
              </w:rPr>
              <w:t>权重</w:t>
            </w:r>
            <w:r>
              <w:rPr>
                <w:rFonts w:hint="eastAsia"/>
                <w:sz w:val="24"/>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65" w:type="dxa"/>
            <w:vAlign w:val="center"/>
          </w:tcPr>
          <w:p>
            <w:pPr>
              <w:pStyle w:val="25"/>
              <w:spacing w:before="11" w:line="290" w:lineRule="exact"/>
              <w:ind w:left="5"/>
              <w:jc w:val="center"/>
              <w:rPr>
                <w:sz w:val="24"/>
              </w:rPr>
            </w:pPr>
            <w:r>
              <w:rPr>
                <w:sz w:val="24"/>
              </w:rPr>
              <w:t>价格</w:t>
            </w:r>
          </w:p>
        </w:tc>
        <w:tc>
          <w:tcPr>
            <w:tcW w:w="4324" w:type="dxa"/>
            <w:vAlign w:val="center"/>
          </w:tcPr>
          <w:p>
            <w:pPr>
              <w:pStyle w:val="25"/>
              <w:spacing w:before="11" w:line="290" w:lineRule="exact"/>
              <w:ind w:left="10"/>
              <w:jc w:val="center"/>
              <w:rPr>
                <w:color w:val="auto"/>
                <w:sz w:val="24"/>
              </w:rPr>
            </w:pPr>
            <w:r>
              <w:rPr>
                <w:rFonts w:hint="eastAsia"/>
                <w:color w:val="auto"/>
                <w:sz w:val="24"/>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65" w:type="dxa"/>
            <w:vAlign w:val="center"/>
          </w:tcPr>
          <w:p>
            <w:pPr>
              <w:pStyle w:val="25"/>
              <w:spacing w:before="11" w:line="290" w:lineRule="exact"/>
              <w:ind w:left="5"/>
              <w:jc w:val="center"/>
              <w:rPr>
                <w:sz w:val="24"/>
              </w:rPr>
            </w:pPr>
            <w:r>
              <w:rPr>
                <w:sz w:val="24"/>
              </w:rPr>
              <w:t>技术</w:t>
            </w:r>
          </w:p>
        </w:tc>
        <w:tc>
          <w:tcPr>
            <w:tcW w:w="4324" w:type="dxa"/>
            <w:vAlign w:val="center"/>
          </w:tcPr>
          <w:p>
            <w:pPr>
              <w:pStyle w:val="25"/>
              <w:spacing w:before="11" w:line="290" w:lineRule="exact"/>
              <w:ind w:left="10"/>
              <w:jc w:val="center"/>
              <w:rPr>
                <w:color w:val="auto"/>
                <w:sz w:val="24"/>
              </w:rPr>
            </w:pPr>
            <w:r>
              <w:rPr>
                <w:rFonts w:hint="eastAsia"/>
                <w:color w:val="auto"/>
                <w:sz w:val="24"/>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65" w:type="dxa"/>
            <w:vAlign w:val="center"/>
          </w:tcPr>
          <w:p>
            <w:pPr>
              <w:pStyle w:val="25"/>
              <w:spacing w:before="11" w:line="290" w:lineRule="exact"/>
              <w:ind w:left="5"/>
              <w:jc w:val="center"/>
              <w:rPr>
                <w:sz w:val="24"/>
              </w:rPr>
            </w:pPr>
            <w:r>
              <w:rPr>
                <w:sz w:val="24"/>
              </w:rPr>
              <w:t>商务</w:t>
            </w:r>
          </w:p>
        </w:tc>
        <w:tc>
          <w:tcPr>
            <w:tcW w:w="4324" w:type="dxa"/>
            <w:vAlign w:val="center"/>
          </w:tcPr>
          <w:p>
            <w:pPr>
              <w:pStyle w:val="25"/>
              <w:spacing w:before="11" w:line="290" w:lineRule="exact"/>
              <w:ind w:left="10"/>
              <w:jc w:val="center"/>
              <w:rPr>
                <w:color w:val="auto"/>
                <w:sz w:val="24"/>
              </w:rPr>
            </w:pPr>
            <w:r>
              <w:rPr>
                <w:rFonts w:hint="eastAsia"/>
                <w:color w:val="auto"/>
                <w:sz w:val="24"/>
              </w:rPr>
              <w:t>20分</w:t>
            </w:r>
          </w:p>
        </w:tc>
      </w:tr>
    </w:tbl>
    <w:p>
      <w:pPr>
        <w:spacing w:before="4" w:line="360" w:lineRule="auto"/>
        <w:rPr>
          <w:sz w:val="24"/>
        </w:rPr>
      </w:pPr>
      <w:r>
        <w:rPr>
          <w:rFonts w:hint="eastAsia"/>
          <w:sz w:val="24"/>
        </w:rPr>
        <w:t>4.1投标报价评价：</w:t>
      </w:r>
    </w:p>
    <w:p>
      <w:pPr>
        <w:spacing w:before="4" w:line="360" w:lineRule="auto"/>
        <w:ind w:left="120"/>
        <w:rPr>
          <w:sz w:val="24"/>
        </w:rPr>
      </w:pPr>
      <w:r>
        <w:rPr>
          <w:rFonts w:hint="eastAsia"/>
          <w:sz w:val="24"/>
        </w:rPr>
        <w:t>（1）价格分采用平均价优先公式计算。</w:t>
      </w:r>
    </w:p>
    <w:p>
      <w:pPr>
        <w:spacing w:before="4" w:line="360" w:lineRule="auto"/>
        <w:ind w:left="120"/>
        <w:rPr>
          <w:sz w:val="24"/>
        </w:rPr>
      </w:pPr>
      <w:r>
        <w:rPr>
          <w:rFonts w:hint="eastAsia"/>
          <w:sz w:val="24"/>
        </w:rPr>
        <w:t>①评标基准价=（A1+A2+A3+···+Ai+···+An）/N</w:t>
      </w:r>
    </w:p>
    <w:p>
      <w:pPr>
        <w:spacing w:before="4" w:line="360" w:lineRule="auto"/>
        <w:ind w:left="120"/>
        <w:rPr>
          <w:sz w:val="24"/>
        </w:rPr>
      </w:pPr>
      <w:r>
        <w:rPr>
          <w:sz w:val="24"/>
        </w:rPr>
        <w:t>A1、A2、……An 分别为进入基准价计算的各投标人的投标报价(算术修正后)</w:t>
      </w:r>
      <w:r>
        <w:rPr>
          <w:rFonts w:hint="eastAsia"/>
          <w:sz w:val="24"/>
        </w:rPr>
        <w:t>；</w:t>
      </w:r>
      <w:r>
        <w:rPr>
          <w:sz w:val="24"/>
        </w:rPr>
        <w:t>N为进入基准价计算的投标人投标报价的个数。</w:t>
      </w:r>
    </w:p>
    <w:p>
      <w:pPr>
        <w:spacing w:before="4" w:line="360" w:lineRule="auto"/>
        <w:ind w:left="120"/>
        <w:rPr>
          <w:sz w:val="24"/>
        </w:rPr>
      </w:pPr>
      <w:r>
        <w:rPr>
          <w:rFonts w:hint="eastAsia"/>
          <w:sz w:val="24"/>
        </w:rPr>
        <w:t>②报价评分的偏差率（取绝对值）=（投标报价－评标基准价）/评标基准价×100%；</w:t>
      </w:r>
    </w:p>
    <w:p>
      <w:pPr>
        <w:spacing w:before="4" w:line="360" w:lineRule="auto"/>
        <w:ind w:left="120"/>
        <w:rPr>
          <w:sz w:val="24"/>
        </w:rPr>
      </w:pPr>
      <w:r>
        <w:rPr>
          <w:rFonts w:hint="eastAsia"/>
          <w:sz w:val="24"/>
        </w:rPr>
        <w:t>③报价评分标准：</w:t>
      </w:r>
    </w:p>
    <w:p>
      <w:pPr>
        <w:spacing w:before="4" w:line="360" w:lineRule="auto"/>
        <w:ind w:left="120"/>
        <w:rPr>
          <w:sz w:val="24"/>
        </w:rPr>
      </w:pPr>
      <w:r>
        <w:rPr>
          <w:rFonts w:hint="eastAsia"/>
          <w:sz w:val="24"/>
        </w:rPr>
        <w:t>投标报价＞评标基准价：报价评分的偏差率每高于评标基准价1%减1分，即40－1×100×偏差率；</w:t>
      </w:r>
    </w:p>
    <w:p>
      <w:pPr>
        <w:spacing w:before="4" w:line="360" w:lineRule="auto"/>
        <w:ind w:left="120"/>
        <w:rPr>
          <w:sz w:val="24"/>
        </w:rPr>
      </w:pPr>
      <w:r>
        <w:rPr>
          <w:rFonts w:hint="eastAsia"/>
          <w:sz w:val="24"/>
        </w:rPr>
        <w:t>投标报价=评标基准价：</w:t>
      </w:r>
      <w:r>
        <w:rPr>
          <w:rFonts w:hint="eastAsia"/>
          <w:color w:val="auto"/>
          <w:sz w:val="24"/>
        </w:rPr>
        <w:t>40</w:t>
      </w:r>
      <w:r>
        <w:rPr>
          <w:rFonts w:hint="eastAsia"/>
          <w:sz w:val="24"/>
        </w:rPr>
        <w:t>分</w:t>
      </w:r>
    </w:p>
    <w:p>
      <w:pPr>
        <w:spacing w:before="4" w:line="360" w:lineRule="auto"/>
        <w:ind w:left="120"/>
        <w:rPr>
          <w:sz w:val="24"/>
        </w:rPr>
      </w:pPr>
      <w:r>
        <w:rPr>
          <w:rFonts w:hint="eastAsia"/>
          <w:sz w:val="24"/>
        </w:rPr>
        <w:t>投标报价＜评标基准价：报价评分的偏差率每高于评标基准价1%减0.5分，即40-0.5×100×偏差率，最多加10分；</w:t>
      </w:r>
    </w:p>
    <w:p>
      <w:pPr>
        <w:spacing w:before="4" w:line="360" w:lineRule="auto"/>
        <w:ind w:left="120"/>
        <w:rPr>
          <w:sz w:val="24"/>
        </w:rPr>
      </w:pPr>
      <w:r>
        <w:rPr>
          <w:rFonts w:hint="eastAsia"/>
          <w:sz w:val="24"/>
        </w:rPr>
        <w:t>4.2技术、商务评价按下表规定的评标标准对投标文件进行评分。</w:t>
      </w:r>
    </w:p>
    <w:p>
      <w:pPr>
        <w:spacing w:before="4" w:line="360" w:lineRule="auto"/>
        <w:ind w:left="120"/>
        <w:jc w:val="center"/>
        <w:rPr>
          <w:rFonts w:hint="eastAsia"/>
          <w:b/>
          <w:sz w:val="36"/>
          <w:szCs w:val="36"/>
        </w:rPr>
      </w:pPr>
    </w:p>
    <w:p>
      <w:pPr>
        <w:spacing w:before="4" w:line="360" w:lineRule="auto"/>
        <w:ind w:left="120"/>
        <w:jc w:val="center"/>
        <w:rPr>
          <w:b/>
          <w:sz w:val="36"/>
          <w:szCs w:val="36"/>
        </w:rPr>
      </w:pPr>
      <w:r>
        <w:rPr>
          <w:rFonts w:hint="eastAsia"/>
          <w:b/>
          <w:sz w:val="36"/>
          <w:szCs w:val="36"/>
        </w:rPr>
        <w:t>商务评议表</w:t>
      </w:r>
    </w:p>
    <w:tbl>
      <w:tblPr>
        <w:tblStyle w:val="16"/>
        <w:tblW w:w="9258"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663"/>
        <w:gridCol w:w="4803"/>
        <w:gridCol w:w="1073"/>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94" w:type="dxa"/>
            <w:vAlign w:val="bottom"/>
          </w:tcPr>
          <w:p>
            <w:pPr>
              <w:spacing w:before="4" w:line="360" w:lineRule="auto"/>
              <w:jc w:val="center"/>
              <w:rPr>
                <w:sz w:val="24"/>
              </w:rPr>
            </w:pPr>
            <w:r>
              <w:rPr>
                <w:rFonts w:hint="eastAsia"/>
                <w:sz w:val="24"/>
              </w:rPr>
              <w:t>序号</w:t>
            </w:r>
          </w:p>
        </w:tc>
        <w:tc>
          <w:tcPr>
            <w:tcW w:w="1663" w:type="dxa"/>
            <w:vAlign w:val="bottom"/>
          </w:tcPr>
          <w:p>
            <w:pPr>
              <w:spacing w:before="4" w:line="360" w:lineRule="auto"/>
              <w:jc w:val="center"/>
              <w:rPr>
                <w:sz w:val="24"/>
              </w:rPr>
            </w:pPr>
            <w:r>
              <w:rPr>
                <w:rFonts w:hint="eastAsia"/>
                <w:sz w:val="24"/>
              </w:rPr>
              <w:t>评审因素</w:t>
            </w:r>
          </w:p>
        </w:tc>
        <w:tc>
          <w:tcPr>
            <w:tcW w:w="4803" w:type="dxa"/>
            <w:vAlign w:val="bottom"/>
          </w:tcPr>
          <w:p>
            <w:pPr>
              <w:spacing w:before="4" w:line="360" w:lineRule="auto"/>
              <w:jc w:val="center"/>
              <w:rPr>
                <w:sz w:val="24"/>
              </w:rPr>
            </w:pPr>
            <w:r>
              <w:rPr>
                <w:rFonts w:hint="eastAsia"/>
                <w:sz w:val="24"/>
              </w:rPr>
              <w:t>评审标准</w:t>
            </w:r>
          </w:p>
        </w:tc>
        <w:tc>
          <w:tcPr>
            <w:tcW w:w="1073" w:type="dxa"/>
            <w:vAlign w:val="bottom"/>
          </w:tcPr>
          <w:p>
            <w:pPr>
              <w:spacing w:before="4" w:line="360" w:lineRule="auto"/>
              <w:jc w:val="center"/>
              <w:rPr>
                <w:sz w:val="24"/>
              </w:rPr>
            </w:pPr>
            <w:r>
              <w:rPr>
                <w:rFonts w:hint="eastAsia"/>
                <w:sz w:val="24"/>
              </w:rPr>
              <w:t>最大值</w:t>
            </w:r>
          </w:p>
        </w:tc>
        <w:tc>
          <w:tcPr>
            <w:tcW w:w="1025" w:type="dxa"/>
            <w:vAlign w:val="bottom"/>
          </w:tcPr>
          <w:p>
            <w:pPr>
              <w:spacing w:before="4" w:line="360" w:lineRule="auto"/>
              <w:jc w:val="center"/>
              <w:rPr>
                <w:sz w:val="24"/>
              </w:rPr>
            </w:pPr>
            <w:r>
              <w:rPr>
                <w:rFonts w:hint="eastAsia"/>
                <w:sz w:val="24"/>
              </w:rPr>
              <w:t>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694" w:type="dxa"/>
            <w:vAlign w:val="center"/>
          </w:tcPr>
          <w:p>
            <w:pPr>
              <w:spacing w:before="4" w:line="360" w:lineRule="auto"/>
              <w:jc w:val="center"/>
              <w:rPr>
                <w:rFonts w:hint="eastAsia" w:eastAsia="宋体"/>
                <w:sz w:val="24"/>
                <w:lang w:eastAsia="zh-CN"/>
              </w:rPr>
            </w:pPr>
            <w:r>
              <w:rPr>
                <w:rFonts w:hint="eastAsia"/>
                <w:sz w:val="24"/>
                <w:lang w:val="en-US" w:eastAsia="zh-CN"/>
              </w:rPr>
              <w:t>1</w:t>
            </w:r>
          </w:p>
        </w:tc>
        <w:tc>
          <w:tcPr>
            <w:tcW w:w="1663" w:type="dxa"/>
            <w:vAlign w:val="center"/>
          </w:tcPr>
          <w:p>
            <w:pPr>
              <w:spacing w:before="4" w:line="360" w:lineRule="auto"/>
              <w:jc w:val="center"/>
              <w:rPr>
                <w:sz w:val="21"/>
                <w:szCs w:val="21"/>
              </w:rPr>
            </w:pPr>
            <w:r>
              <w:rPr>
                <w:rFonts w:hint="eastAsia"/>
                <w:sz w:val="21"/>
                <w:szCs w:val="21"/>
              </w:rPr>
              <w:t>三体系认证</w:t>
            </w:r>
          </w:p>
        </w:tc>
        <w:tc>
          <w:tcPr>
            <w:tcW w:w="4803" w:type="dxa"/>
          </w:tcPr>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1、制造企业具备ISO9001质量管理体系认证证书得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2、制造企业具备ISO14001</w:t>
            </w:r>
            <w:r>
              <w:rPr>
                <w:rFonts w:hint="eastAsia" w:asciiTheme="minorEastAsia" w:hAnsiTheme="minorEastAsia" w:eastAsiaTheme="minorEastAsia" w:cstheme="minorEastAsia"/>
                <w:spacing w:val="-14"/>
                <w:sz w:val="21"/>
                <w:szCs w:val="21"/>
              </w:rPr>
              <w:t>环</w:t>
            </w:r>
            <w:r>
              <w:rPr>
                <w:rFonts w:hint="eastAsia" w:asciiTheme="minorEastAsia" w:hAnsiTheme="minorEastAsia" w:eastAsiaTheme="minorEastAsia" w:cstheme="minorEastAsia"/>
                <w:sz w:val="21"/>
                <w:szCs w:val="21"/>
              </w:rPr>
              <w:t>境管理体系认证证书得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 ；</w:t>
            </w:r>
          </w:p>
          <w:p>
            <w:pPr>
              <w:spacing w:before="4" w:line="400" w:lineRule="exact"/>
              <w:rPr>
                <w:sz w:val="21"/>
                <w:szCs w:val="21"/>
              </w:rPr>
            </w:pPr>
            <w:r>
              <w:rPr>
                <w:rFonts w:hint="eastAsia" w:asciiTheme="minorEastAsia" w:hAnsiTheme="minorEastAsia" w:eastAsiaTheme="minorEastAsia" w:cstheme="minorEastAsia"/>
                <w:sz w:val="21"/>
                <w:szCs w:val="21"/>
              </w:rPr>
              <w:t>3、制造企业具备GB/T28001 职业健康安全管理体系认证证书得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tc>
        <w:tc>
          <w:tcPr>
            <w:tcW w:w="1073" w:type="dxa"/>
            <w:vAlign w:val="center"/>
          </w:tcPr>
          <w:p>
            <w:pPr>
              <w:spacing w:before="4" w:line="360" w:lineRule="auto"/>
              <w:jc w:val="center"/>
              <w:rPr>
                <w:rFonts w:hint="eastAsia" w:eastAsia="宋体"/>
                <w:sz w:val="24"/>
                <w:lang w:eastAsia="zh-CN"/>
              </w:rPr>
            </w:pPr>
            <w:r>
              <w:rPr>
                <w:rFonts w:hint="eastAsia"/>
                <w:sz w:val="24"/>
                <w:lang w:val="en-US" w:eastAsia="zh-CN"/>
              </w:rPr>
              <w:t>6</w:t>
            </w:r>
          </w:p>
        </w:tc>
        <w:tc>
          <w:tcPr>
            <w:tcW w:w="1025"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rPr>
        <w:tc>
          <w:tcPr>
            <w:tcW w:w="694" w:type="dxa"/>
            <w:vAlign w:val="center"/>
          </w:tcPr>
          <w:p>
            <w:pPr>
              <w:spacing w:before="4" w:line="360" w:lineRule="auto"/>
              <w:jc w:val="center"/>
              <w:rPr>
                <w:rFonts w:hint="eastAsia" w:eastAsia="宋体"/>
                <w:sz w:val="24"/>
                <w:lang w:eastAsia="zh-CN"/>
              </w:rPr>
            </w:pPr>
            <w:r>
              <w:rPr>
                <w:rFonts w:hint="eastAsia"/>
                <w:sz w:val="24"/>
                <w:lang w:val="en-US" w:eastAsia="zh-CN"/>
              </w:rPr>
              <w:t>2</w:t>
            </w:r>
          </w:p>
        </w:tc>
        <w:tc>
          <w:tcPr>
            <w:tcW w:w="1663" w:type="dxa"/>
            <w:vAlign w:val="center"/>
          </w:tcPr>
          <w:p>
            <w:pPr>
              <w:spacing w:before="4" w:line="360" w:lineRule="auto"/>
              <w:jc w:val="center"/>
              <w:rPr>
                <w:sz w:val="21"/>
                <w:szCs w:val="21"/>
              </w:rPr>
            </w:pPr>
            <w:r>
              <w:rPr>
                <w:rFonts w:hint="eastAsia" w:asciiTheme="minorEastAsia" w:hAnsiTheme="minorEastAsia" w:eastAsiaTheme="minorEastAsia" w:cstheme="minorEastAsia"/>
                <w:sz w:val="21"/>
                <w:szCs w:val="21"/>
              </w:rPr>
              <w:t>售后服务</w:t>
            </w:r>
          </w:p>
        </w:tc>
        <w:tc>
          <w:tcPr>
            <w:tcW w:w="4803" w:type="dxa"/>
          </w:tcPr>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1、投标人在湖南省内配备售后服务机构得1分，未提供证明文件的计0分；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2、售后响应时间符合招标文件要求的计1分，负偏离招标文件要求的计0分；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3、有服务承诺，质保期满足招标要求，培训方案到位，计1分；</w:t>
            </w:r>
          </w:p>
          <w:p>
            <w:pPr>
              <w:spacing w:before="4"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4、免费售后服务承诺达2年的计2分，免费售后服务1年的计1分，免费售后服务不足1年的计0分。</w:t>
            </w:r>
          </w:p>
        </w:tc>
        <w:tc>
          <w:tcPr>
            <w:tcW w:w="1073" w:type="dxa"/>
            <w:vAlign w:val="center"/>
          </w:tcPr>
          <w:p>
            <w:pPr>
              <w:spacing w:before="4" w:line="360" w:lineRule="auto"/>
              <w:jc w:val="center"/>
              <w:rPr>
                <w:sz w:val="24"/>
              </w:rPr>
            </w:pPr>
            <w:r>
              <w:rPr>
                <w:rFonts w:hint="eastAsia"/>
                <w:sz w:val="24"/>
              </w:rPr>
              <w:t>5</w:t>
            </w:r>
          </w:p>
        </w:tc>
        <w:tc>
          <w:tcPr>
            <w:tcW w:w="1025"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94" w:type="dxa"/>
            <w:vAlign w:val="center"/>
          </w:tcPr>
          <w:p>
            <w:pPr>
              <w:spacing w:before="4" w:line="360" w:lineRule="auto"/>
              <w:jc w:val="center"/>
              <w:rPr>
                <w:rFonts w:hint="eastAsia" w:eastAsia="宋体"/>
                <w:sz w:val="24"/>
                <w:lang w:eastAsia="zh-CN"/>
              </w:rPr>
            </w:pPr>
            <w:r>
              <w:rPr>
                <w:rFonts w:hint="eastAsia"/>
                <w:sz w:val="24"/>
                <w:lang w:val="en-US" w:eastAsia="zh-CN"/>
              </w:rPr>
              <w:t>3</w:t>
            </w:r>
          </w:p>
        </w:tc>
        <w:tc>
          <w:tcPr>
            <w:tcW w:w="1663" w:type="dxa"/>
            <w:vAlign w:val="center"/>
          </w:tcPr>
          <w:p>
            <w:pPr>
              <w:spacing w:before="4" w:line="360" w:lineRule="auto"/>
              <w:jc w:val="center"/>
              <w:rPr>
                <w:sz w:val="21"/>
                <w:szCs w:val="21"/>
              </w:rPr>
            </w:pPr>
            <w:r>
              <w:rPr>
                <w:rFonts w:hint="eastAsia" w:asciiTheme="minorEastAsia" w:hAnsiTheme="minorEastAsia" w:eastAsiaTheme="minorEastAsia" w:cstheme="minorEastAsia"/>
                <w:sz w:val="21"/>
                <w:szCs w:val="21"/>
              </w:rPr>
              <w:t>业绩</w:t>
            </w:r>
          </w:p>
        </w:tc>
        <w:tc>
          <w:tcPr>
            <w:tcW w:w="4803" w:type="dxa"/>
          </w:tcPr>
          <w:p>
            <w:pPr>
              <w:spacing w:before="4" w:line="400" w:lineRule="exact"/>
              <w:rPr>
                <w:sz w:val="21"/>
                <w:szCs w:val="21"/>
              </w:rPr>
            </w:pPr>
            <w:r>
              <w:rPr>
                <w:rFonts w:hint="eastAsia" w:asciiTheme="minorEastAsia" w:hAnsiTheme="minorEastAsia" w:eastAsiaTheme="minorEastAsia" w:cstheme="minorEastAsia"/>
                <w:sz w:val="21"/>
                <w:szCs w:val="21"/>
              </w:rPr>
              <w:t>近3年（以合同签订时间为准）签订</w:t>
            </w:r>
            <w:r>
              <w:rPr>
                <w:rFonts w:hint="eastAsia" w:asciiTheme="minorEastAsia" w:hAnsiTheme="minorEastAsia" w:eastAsiaTheme="minorEastAsia" w:cstheme="minorEastAsia"/>
                <w:sz w:val="21"/>
                <w:szCs w:val="21"/>
                <w:lang w:val="en-US" w:eastAsia="zh-CN"/>
              </w:rPr>
              <w:t>平面摇摆筛设计制作项目的，</w:t>
            </w:r>
            <w:r>
              <w:rPr>
                <w:rFonts w:hint="eastAsia" w:asciiTheme="minorEastAsia" w:hAnsiTheme="minorEastAsia" w:eastAsiaTheme="minorEastAsia" w:cstheme="minorEastAsia"/>
                <w:sz w:val="21"/>
                <w:szCs w:val="21"/>
              </w:rPr>
              <w:t>每个项目得1分，最多得5分（以提供的合同复印件或中标通知书为准），其中材料为304及以上的不锈钢业绩的，另外加2分。</w:t>
            </w:r>
          </w:p>
        </w:tc>
        <w:tc>
          <w:tcPr>
            <w:tcW w:w="1073" w:type="dxa"/>
            <w:vAlign w:val="center"/>
          </w:tcPr>
          <w:p>
            <w:pPr>
              <w:spacing w:before="4" w:line="360" w:lineRule="auto"/>
              <w:jc w:val="center"/>
              <w:rPr>
                <w:sz w:val="24"/>
              </w:rPr>
            </w:pPr>
            <w:r>
              <w:rPr>
                <w:rFonts w:hint="eastAsia"/>
                <w:sz w:val="24"/>
              </w:rPr>
              <w:t>7</w:t>
            </w:r>
          </w:p>
        </w:tc>
        <w:tc>
          <w:tcPr>
            <w:tcW w:w="1025"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694" w:type="dxa"/>
            <w:vAlign w:val="center"/>
          </w:tcPr>
          <w:p>
            <w:pPr>
              <w:spacing w:before="4" w:line="360" w:lineRule="auto"/>
              <w:jc w:val="center"/>
              <w:rPr>
                <w:rFonts w:hint="eastAsia" w:eastAsia="宋体"/>
                <w:sz w:val="24"/>
                <w:lang w:eastAsia="zh-CN"/>
              </w:rPr>
            </w:pPr>
            <w:r>
              <w:rPr>
                <w:rFonts w:hint="eastAsia"/>
                <w:sz w:val="24"/>
                <w:lang w:val="en-US" w:eastAsia="zh-CN"/>
              </w:rPr>
              <w:t>4</w:t>
            </w:r>
          </w:p>
        </w:tc>
        <w:tc>
          <w:tcPr>
            <w:tcW w:w="1663" w:type="dxa"/>
            <w:vAlign w:val="center"/>
          </w:tcPr>
          <w:p>
            <w:pPr>
              <w:spacing w:before="4"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优惠条件</w:t>
            </w:r>
          </w:p>
        </w:tc>
        <w:tc>
          <w:tcPr>
            <w:tcW w:w="4803" w:type="dxa"/>
          </w:tcPr>
          <w:p>
            <w:pPr>
              <w:spacing w:before="4" w:line="400" w:lineRule="exact"/>
              <w:rPr>
                <w:sz w:val="21"/>
                <w:szCs w:val="21"/>
              </w:rPr>
            </w:pPr>
            <w:r>
              <w:rPr>
                <w:rFonts w:hint="eastAsia" w:asciiTheme="minorEastAsia" w:hAnsiTheme="minorEastAsia" w:eastAsiaTheme="minorEastAsia" w:cstheme="minorEastAsia"/>
                <w:sz w:val="21"/>
                <w:szCs w:val="21"/>
              </w:rPr>
              <w:t>质保期：投标方所提供的全部产品质保期高于招标文件要求，每延长1年质保期计1分， 最高2分，其他不计分</w:t>
            </w:r>
          </w:p>
        </w:tc>
        <w:tc>
          <w:tcPr>
            <w:tcW w:w="1073" w:type="dxa"/>
            <w:vAlign w:val="center"/>
          </w:tcPr>
          <w:p>
            <w:pPr>
              <w:spacing w:before="4" w:line="360" w:lineRule="auto"/>
              <w:jc w:val="center"/>
              <w:rPr>
                <w:sz w:val="24"/>
              </w:rPr>
            </w:pPr>
            <w:r>
              <w:rPr>
                <w:rFonts w:hint="eastAsia"/>
                <w:sz w:val="24"/>
              </w:rPr>
              <w:t>2</w:t>
            </w:r>
          </w:p>
        </w:tc>
        <w:tc>
          <w:tcPr>
            <w:tcW w:w="1025" w:type="dxa"/>
            <w:vAlign w:val="center"/>
          </w:tcPr>
          <w:p>
            <w:pPr>
              <w:spacing w:before="4" w:line="360" w:lineRule="auto"/>
              <w:jc w:val="center"/>
              <w:rPr>
                <w:sz w:val="24"/>
              </w:rPr>
            </w:pPr>
            <w:r>
              <w:rPr>
                <w:rFonts w:hint="eastAsia"/>
                <w:sz w:val="24"/>
              </w:rPr>
              <w:t>0</w:t>
            </w:r>
          </w:p>
        </w:tc>
      </w:tr>
    </w:tbl>
    <w:p>
      <w:pPr>
        <w:pStyle w:val="25"/>
        <w:spacing w:before="12"/>
        <w:ind w:left="10"/>
        <w:rPr>
          <w:rFonts w:asciiTheme="minorEastAsia" w:hAnsiTheme="minorEastAsia" w:eastAsiaTheme="minorEastAsia" w:cstheme="minorEastAsia"/>
          <w:kern w:val="2"/>
          <w:sz w:val="24"/>
          <w:szCs w:val="24"/>
          <w:lang w:val="en-US" w:bidi="ar-SA"/>
        </w:rPr>
      </w:pPr>
    </w:p>
    <w:p>
      <w:pPr>
        <w:spacing w:before="4" w:line="360" w:lineRule="auto"/>
        <w:ind w:left="120"/>
        <w:jc w:val="center"/>
        <w:rPr>
          <w:rFonts w:hint="eastAsia"/>
          <w:b/>
          <w:sz w:val="36"/>
          <w:szCs w:val="36"/>
        </w:rPr>
      </w:pPr>
    </w:p>
    <w:p>
      <w:pPr>
        <w:spacing w:before="4" w:line="360" w:lineRule="auto"/>
        <w:jc w:val="both"/>
        <w:rPr>
          <w:rFonts w:hint="eastAsia"/>
          <w:b/>
          <w:sz w:val="36"/>
          <w:szCs w:val="36"/>
        </w:rPr>
      </w:pPr>
    </w:p>
    <w:p>
      <w:pPr>
        <w:spacing w:before="4" w:line="360" w:lineRule="auto"/>
        <w:ind w:left="120"/>
        <w:jc w:val="center"/>
        <w:rPr>
          <w:b/>
          <w:sz w:val="24"/>
        </w:rPr>
      </w:pPr>
      <w:r>
        <w:rPr>
          <w:rFonts w:hint="eastAsia"/>
          <w:b/>
          <w:sz w:val="36"/>
          <w:szCs w:val="36"/>
        </w:rPr>
        <w:t>技术评议表</w:t>
      </w:r>
    </w:p>
    <w:tbl>
      <w:tblPr>
        <w:tblStyle w:val="16"/>
        <w:tblW w:w="9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799"/>
        <w:gridCol w:w="4521"/>
        <w:gridCol w:w="105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7" w:type="dxa"/>
            <w:vAlign w:val="bottom"/>
          </w:tcPr>
          <w:p>
            <w:pPr>
              <w:spacing w:before="4" w:line="360" w:lineRule="auto"/>
              <w:jc w:val="center"/>
              <w:rPr>
                <w:sz w:val="24"/>
              </w:rPr>
            </w:pPr>
            <w:r>
              <w:rPr>
                <w:rFonts w:hint="eastAsia"/>
                <w:sz w:val="24"/>
              </w:rPr>
              <w:t>序号</w:t>
            </w:r>
          </w:p>
        </w:tc>
        <w:tc>
          <w:tcPr>
            <w:tcW w:w="1799" w:type="dxa"/>
            <w:vAlign w:val="bottom"/>
          </w:tcPr>
          <w:p>
            <w:pPr>
              <w:spacing w:before="4" w:line="360" w:lineRule="auto"/>
              <w:jc w:val="center"/>
              <w:rPr>
                <w:sz w:val="24"/>
              </w:rPr>
            </w:pPr>
            <w:r>
              <w:rPr>
                <w:rFonts w:hint="eastAsia"/>
                <w:sz w:val="24"/>
              </w:rPr>
              <w:t>评审因素</w:t>
            </w:r>
          </w:p>
        </w:tc>
        <w:tc>
          <w:tcPr>
            <w:tcW w:w="4521" w:type="dxa"/>
            <w:vAlign w:val="bottom"/>
          </w:tcPr>
          <w:p>
            <w:pPr>
              <w:spacing w:before="4" w:line="360" w:lineRule="auto"/>
              <w:jc w:val="center"/>
              <w:rPr>
                <w:sz w:val="24"/>
              </w:rPr>
            </w:pPr>
            <w:r>
              <w:rPr>
                <w:rFonts w:hint="eastAsia"/>
                <w:sz w:val="24"/>
              </w:rPr>
              <w:t>评审标准</w:t>
            </w:r>
          </w:p>
        </w:tc>
        <w:tc>
          <w:tcPr>
            <w:tcW w:w="1057" w:type="dxa"/>
            <w:vAlign w:val="bottom"/>
          </w:tcPr>
          <w:p>
            <w:pPr>
              <w:spacing w:before="4" w:line="360" w:lineRule="auto"/>
              <w:jc w:val="center"/>
              <w:rPr>
                <w:sz w:val="24"/>
              </w:rPr>
            </w:pPr>
            <w:r>
              <w:rPr>
                <w:rFonts w:hint="eastAsia"/>
                <w:sz w:val="24"/>
              </w:rPr>
              <w:t>最大值</w:t>
            </w:r>
          </w:p>
        </w:tc>
        <w:tc>
          <w:tcPr>
            <w:tcW w:w="1007" w:type="dxa"/>
            <w:vAlign w:val="bottom"/>
          </w:tcPr>
          <w:p>
            <w:pPr>
              <w:spacing w:before="4" w:line="360" w:lineRule="auto"/>
              <w:jc w:val="center"/>
              <w:rPr>
                <w:sz w:val="24"/>
              </w:rPr>
            </w:pPr>
            <w:r>
              <w:rPr>
                <w:rFonts w:hint="eastAsia"/>
                <w:sz w:val="24"/>
              </w:rPr>
              <w:t>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97" w:type="dxa"/>
            <w:vAlign w:val="center"/>
          </w:tcPr>
          <w:p>
            <w:pPr>
              <w:spacing w:before="4" w:line="360" w:lineRule="auto"/>
              <w:jc w:val="center"/>
              <w:rPr>
                <w:sz w:val="24"/>
              </w:rPr>
            </w:pPr>
            <w:r>
              <w:rPr>
                <w:rFonts w:hint="eastAsia"/>
                <w:sz w:val="24"/>
              </w:rPr>
              <w:t>1</w:t>
            </w:r>
          </w:p>
        </w:tc>
        <w:tc>
          <w:tcPr>
            <w:tcW w:w="1799" w:type="dxa"/>
            <w:vAlign w:val="center"/>
          </w:tcPr>
          <w:p>
            <w:pPr>
              <w:pStyle w:val="25"/>
              <w:spacing w:before="153"/>
              <w:ind w:left="10"/>
              <w:jc w:val="center"/>
              <w:rPr>
                <w:sz w:val="21"/>
                <w:szCs w:val="21"/>
              </w:rPr>
            </w:pPr>
            <w:r>
              <w:rPr>
                <w:rFonts w:hint="eastAsia"/>
                <w:sz w:val="21"/>
                <w:szCs w:val="21"/>
              </w:rPr>
              <w:t>技术方案</w:t>
            </w:r>
          </w:p>
        </w:tc>
        <w:tc>
          <w:tcPr>
            <w:tcW w:w="4521" w:type="dxa"/>
            <w:vAlign w:val="center"/>
          </w:tcPr>
          <w:p>
            <w:pPr>
              <w:pStyle w:val="25"/>
              <w:spacing w:before="12"/>
              <w:ind w:left="10"/>
              <w:jc w:val="both"/>
              <w:rPr>
                <w:rFonts w:ascii="PMingLiU" w:eastAsia="PMingLiU"/>
                <w:sz w:val="21"/>
                <w:szCs w:val="21"/>
              </w:rPr>
            </w:pPr>
            <w:r>
              <w:rPr>
                <w:rFonts w:asciiTheme="minorEastAsia" w:hAnsiTheme="minorEastAsia" w:eastAsiaTheme="minorEastAsia" w:cstheme="minorEastAsia"/>
                <w:kern w:val="2"/>
                <w:sz w:val="21"/>
                <w:szCs w:val="21"/>
                <w:lang w:val="en-US" w:bidi="ar-SA"/>
              </w:rPr>
              <w:t>对提供的技术</w:t>
            </w:r>
            <w:r>
              <w:rPr>
                <w:rFonts w:hint="eastAsia" w:asciiTheme="minorEastAsia" w:hAnsiTheme="minorEastAsia" w:eastAsiaTheme="minorEastAsia" w:cstheme="minorEastAsia"/>
                <w:kern w:val="2"/>
                <w:sz w:val="21"/>
                <w:szCs w:val="21"/>
                <w:lang w:val="en-US" w:bidi="ar-SA"/>
              </w:rPr>
              <w:t>方案说明及技术参数及零部件参数表，</w:t>
            </w:r>
            <w:r>
              <w:rPr>
                <w:rFonts w:asciiTheme="minorEastAsia" w:hAnsiTheme="minorEastAsia" w:eastAsiaTheme="minorEastAsia" w:cstheme="minorEastAsia"/>
                <w:kern w:val="2"/>
                <w:sz w:val="21"/>
                <w:szCs w:val="21"/>
                <w:lang w:val="en-US" w:bidi="ar-SA"/>
              </w:rPr>
              <w:t>进行综</w:t>
            </w:r>
            <w:r>
              <w:rPr>
                <w:rFonts w:hint="eastAsia" w:asciiTheme="minorEastAsia" w:hAnsiTheme="minorEastAsia" w:eastAsiaTheme="minorEastAsia" w:cstheme="minorEastAsia"/>
                <w:kern w:val="2"/>
                <w:sz w:val="21"/>
                <w:szCs w:val="21"/>
                <w:lang w:val="en-US" w:bidi="ar-SA"/>
              </w:rPr>
              <w:t>合评审，优良的得10分，较好的得5分，一般的得3分，无相应内容的得0分</w:t>
            </w:r>
            <w:r>
              <w:rPr>
                <w:rFonts w:asciiTheme="minorEastAsia" w:hAnsiTheme="minorEastAsia" w:eastAsiaTheme="minorEastAsia" w:cstheme="minorEastAsia"/>
                <w:kern w:val="2"/>
                <w:sz w:val="21"/>
                <w:szCs w:val="21"/>
                <w:lang w:val="en-US" w:bidi="ar-SA"/>
              </w:rPr>
              <w:t>。</w:t>
            </w:r>
          </w:p>
        </w:tc>
        <w:tc>
          <w:tcPr>
            <w:tcW w:w="1057" w:type="dxa"/>
            <w:vAlign w:val="center"/>
          </w:tcPr>
          <w:p>
            <w:pPr>
              <w:spacing w:before="4" w:line="360" w:lineRule="auto"/>
              <w:jc w:val="center"/>
              <w:rPr>
                <w:sz w:val="24"/>
              </w:rPr>
            </w:pPr>
            <w:r>
              <w:rPr>
                <w:rFonts w:hint="eastAsia"/>
                <w:sz w:val="24"/>
              </w:rPr>
              <w:t>10</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97" w:type="dxa"/>
            <w:vAlign w:val="center"/>
          </w:tcPr>
          <w:p>
            <w:pPr>
              <w:spacing w:before="4" w:line="360" w:lineRule="auto"/>
              <w:jc w:val="center"/>
              <w:rPr>
                <w:sz w:val="24"/>
              </w:rPr>
            </w:pPr>
            <w:r>
              <w:rPr>
                <w:rFonts w:hint="eastAsia"/>
                <w:sz w:val="24"/>
              </w:rPr>
              <w:t>2</w:t>
            </w:r>
          </w:p>
        </w:tc>
        <w:tc>
          <w:tcPr>
            <w:tcW w:w="1799" w:type="dxa"/>
            <w:vAlign w:val="center"/>
          </w:tcPr>
          <w:p>
            <w:pPr>
              <w:pStyle w:val="25"/>
              <w:spacing w:before="153"/>
              <w:ind w:left="10"/>
              <w:jc w:val="left"/>
              <w:rPr>
                <w:sz w:val="21"/>
                <w:szCs w:val="21"/>
              </w:rPr>
            </w:pPr>
            <w:r>
              <w:rPr>
                <w:rFonts w:hint="eastAsia"/>
                <w:sz w:val="21"/>
                <w:szCs w:val="21"/>
              </w:rPr>
              <w:t>质量保证体系及保证措施</w:t>
            </w:r>
          </w:p>
        </w:tc>
        <w:tc>
          <w:tcPr>
            <w:tcW w:w="4521" w:type="dxa"/>
            <w:vAlign w:val="center"/>
          </w:tcPr>
          <w:p>
            <w:pPr>
              <w:pStyle w:val="25"/>
              <w:spacing w:before="12"/>
              <w:ind w:left="10"/>
              <w:jc w:val="both"/>
              <w:rPr>
                <w:sz w:val="21"/>
                <w:szCs w:val="21"/>
              </w:rPr>
            </w:pPr>
            <w:r>
              <w:rPr>
                <w:rFonts w:asciiTheme="minorEastAsia" w:hAnsiTheme="minorEastAsia" w:eastAsiaTheme="minorEastAsia" w:cstheme="minorEastAsia"/>
                <w:kern w:val="2"/>
                <w:sz w:val="21"/>
                <w:szCs w:val="21"/>
                <w:lang w:val="en-US" w:bidi="ar-SA"/>
              </w:rPr>
              <w:t>对提供的质量管理内控制度</w:t>
            </w:r>
            <w:r>
              <w:rPr>
                <w:rFonts w:hint="eastAsia" w:asciiTheme="minorEastAsia" w:hAnsiTheme="minorEastAsia" w:eastAsiaTheme="minorEastAsia" w:cstheme="minorEastAsia"/>
                <w:kern w:val="2"/>
                <w:sz w:val="21"/>
                <w:szCs w:val="21"/>
                <w:lang w:val="en-US" w:bidi="ar-SA"/>
              </w:rPr>
              <w:t>及保证措施进行评审，优良的得5分，较好的得3分，一般的得1分，无相应内容的得0分</w:t>
            </w:r>
            <w:r>
              <w:rPr>
                <w:rFonts w:hint="eastAsia"/>
                <w:sz w:val="21"/>
                <w:szCs w:val="21"/>
              </w:rPr>
              <w:t>。</w:t>
            </w:r>
          </w:p>
        </w:tc>
        <w:tc>
          <w:tcPr>
            <w:tcW w:w="1057" w:type="dxa"/>
            <w:vAlign w:val="center"/>
          </w:tcPr>
          <w:p>
            <w:pPr>
              <w:spacing w:before="4" w:line="360" w:lineRule="auto"/>
              <w:jc w:val="center"/>
              <w:rPr>
                <w:sz w:val="24"/>
              </w:rPr>
            </w:pPr>
            <w:r>
              <w:rPr>
                <w:rFonts w:hint="eastAsia"/>
                <w:sz w:val="24"/>
              </w:rPr>
              <w:t>5</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97" w:type="dxa"/>
            <w:vAlign w:val="center"/>
          </w:tcPr>
          <w:p>
            <w:pPr>
              <w:spacing w:before="4" w:line="360" w:lineRule="auto"/>
              <w:jc w:val="center"/>
              <w:rPr>
                <w:sz w:val="24"/>
              </w:rPr>
            </w:pPr>
            <w:r>
              <w:rPr>
                <w:rFonts w:hint="eastAsia"/>
                <w:sz w:val="24"/>
              </w:rPr>
              <w:t>3</w:t>
            </w:r>
          </w:p>
        </w:tc>
        <w:tc>
          <w:tcPr>
            <w:tcW w:w="1799" w:type="dxa"/>
            <w:vAlign w:val="center"/>
          </w:tcPr>
          <w:p>
            <w:pPr>
              <w:pStyle w:val="25"/>
              <w:spacing w:before="153"/>
              <w:ind w:left="10"/>
              <w:jc w:val="left"/>
              <w:rPr>
                <w:sz w:val="21"/>
                <w:szCs w:val="21"/>
              </w:rPr>
            </w:pPr>
            <w:r>
              <w:rPr>
                <w:rFonts w:hint="eastAsia"/>
                <w:sz w:val="21"/>
                <w:szCs w:val="21"/>
              </w:rPr>
              <w:t>生产组织计划及项目组织机构</w:t>
            </w:r>
          </w:p>
        </w:tc>
        <w:tc>
          <w:tcPr>
            <w:tcW w:w="4521" w:type="dxa"/>
            <w:vAlign w:val="center"/>
          </w:tcPr>
          <w:p>
            <w:pPr>
              <w:pStyle w:val="25"/>
              <w:spacing w:before="12"/>
              <w:ind w:left="10"/>
              <w:jc w:val="both"/>
              <w:rPr>
                <w:sz w:val="21"/>
                <w:szCs w:val="21"/>
              </w:rPr>
            </w:pPr>
            <w:r>
              <w:rPr>
                <w:rFonts w:asciiTheme="minorEastAsia" w:hAnsiTheme="minorEastAsia" w:eastAsiaTheme="minorEastAsia" w:cstheme="minorEastAsia"/>
                <w:kern w:val="2"/>
                <w:sz w:val="21"/>
                <w:szCs w:val="21"/>
                <w:lang w:val="en-US" w:bidi="ar-SA"/>
              </w:rPr>
              <w:t>设备交货进度</w:t>
            </w:r>
            <w:r>
              <w:rPr>
                <w:rFonts w:hint="eastAsia" w:asciiTheme="minorEastAsia" w:hAnsiTheme="minorEastAsia" w:eastAsiaTheme="minorEastAsia" w:cstheme="minorEastAsia"/>
                <w:kern w:val="2"/>
                <w:sz w:val="21"/>
                <w:szCs w:val="21"/>
                <w:lang w:val="en-US" w:bidi="ar-SA"/>
              </w:rPr>
              <w:t>需</w:t>
            </w:r>
            <w:r>
              <w:rPr>
                <w:rFonts w:asciiTheme="minorEastAsia" w:hAnsiTheme="minorEastAsia" w:eastAsiaTheme="minorEastAsia" w:cstheme="minorEastAsia"/>
                <w:kern w:val="2"/>
                <w:sz w:val="21"/>
                <w:szCs w:val="21"/>
                <w:lang w:val="en-US" w:bidi="ar-SA"/>
              </w:rPr>
              <w:t>满足招标文件</w:t>
            </w:r>
            <w:r>
              <w:rPr>
                <w:rFonts w:hint="eastAsia" w:asciiTheme="minorEastAsia" w:hAnsiTheme="minorEastAsia" w:eastAsiaTheme="minorEastAsia" w:cstheme="minorEastAsia"/>
                <w:kern w:val="2"/>
                <w:sz w:val="21"/>
                <w:szCs w:val="21"/>
                <w:lang w:val="en-US" w:bidi="ar-SA"/>
              </w:rPr>
              <w:t>要求，对各投标人提供的生产组织计划及项目组织机构进行评审，优良的得5分，较好的得3分，一般的得1分，无相应内容的得0分。</w:t>
            </w:r>
          </w:p>
        </w:tc>
        <w:tc>
          <w:tcPr>
            <w:tcW w:w="1057" w:type="dxa"/>
            <w:vAlign w:val="center"/>
          </w:tcPr>
          <w:p>
            <w:pPr>
              <w:spacing w:before="4" w:line="360" w:lineRule="auto"/>
              <w:jc w:val="center"/>
              <w:rPr>
                <w:sz w:val="24"/>
              </w:rPr>
            </w:pPr>
            <w:r>
              <w:rPr>
                <w:rFonts w:hint="eastAsia"/>
                <w:sz w:val="24"/>
              </w:rPr>
              <w:t>5</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97" w:type="dxa"/>
            <w:vAlign w:val="center"/>
          </w:tcPr>
          <w:p>
            <w:pPr>
              <w:spacing w:before="4" w:line="360" w:lineRule="auto"/>
              <w:jc w:val="center"/>
              <w:rPr>
                <w:sz w:val="24"/>
              </w:rPr>
            </w:pPr>
            <w:r>
              <w:rPr>
                <w:rFonts w:hint="eastAsia"/>
                <w:sz w:val="24"/>
              </w:rPr>
              <w:t>4</w:t>
            </w:r>
          </w:p>
        </w:tc>
        <w:tc>
          <w:tcPr>
            <w:tcW w:w="1799" w:type="dxa"/>
            <w:vAlign w:val="center"/>
          </w:tcPr>
          <w:p>
            <w:pPr>
              <w:pStyle w:val="25"/>
              <w:spacing w:before="20"/>
              <w:ind w:left="10"/>
              <w:jc w:val="left"/>
              <w:rPr>
                <w:rFonts w:ascii="PMingLiU" w:eastAsia="PMingLiU"/>
                <w:sz w:val="21"/>
                <w:szCs w:val="21"/>
              </w:rPr>
            </w:pPr>
            <w:r>
              <w:rPr>
                <w:rFonts w:hint="eastAsia" w:ascii="宋体" w:hAnsi="宋体" w:eastAsia="宋体" w:cs="宋体"/>
                <w:sz w:val="21"/>
                <w:szCs w:val="21"/>
              </w:rPr>
              <w:t>对招标文件技术要求响应程度</w:t>
            </w:r>
          </w:p>
        </w:tc>
        <w:tc>
          <w:tcPr>
            <w:tcW w:w="4521" w:type="dxa"/>
            <w:vAlign w:val="center"/>
          </w:tcPr>
          <w:p>
            <w:pPr>
              <w:pStyle w:val="25"/>
              <w:spacing w:before="12"/>
              <w:ind w:left="10"/>
              <w:jc w:val="both"/>
              <w:rPr>
                <w:rFonts w:asciiTheme="minorEastAsia" w:hAnsiTheme="minorEastAsia" w:eastAsiaTheme="minorEastAsia" w:cstheme="minorEastAsia"/>
                <w:kern w:val="2"/>
                <w:sz w:val="21"/>
                <w:szCs w:val="21"/>
                <w:lang w:val="en-US" w:bidi="ar-SA"/>
              </w:rPr>
            </w:pPr>
            <w:r>
              <w:rPr>
                <w:rFonts w:hint="eastAsia" w:asciiTheme="minorEastAsia" w:hAnsiTheme="minorEastAsia" w:eastAsiaTheme="minorEastAsia" w:cstheme="minorEastAsia"/>
                <w:kern w:val="2"/>
                <w:sz w:val="21"/>
                <w:szCs w:val="21"/>
                <w:lang w:val="en-US" w:bidi="ar-SA"/>
              </w:rPr>
              <w:t>投标设备技术参数完全满足招标文件技术要求的计15分；</w:t>
            </w:r>
          </w:p>
          <w:p>
            <w:pPr>
              <w:pStyle w:val="25"/>
              <w:spacing w:before="12"/>
              <w:ind w:left="10"/>
              <w:jc w:val="both"/>
              <w:rPr>
                <w:rFonts w:ascii="MS UI Gothic" w:eastAsia="MS UI Gothic"/>
                <w:sz w:val="21"/>
                <w:szCs w:val="21"/>
              </w:rPr>
            </w:pPr>
            <w:r>
              <w:rPr>
                <w:rFonts w:hint="eastAsia" w:asciiTheme="minorEastAsia" w:hAnsiTheme="minorEastAsia" w:eastAsiaTheme="minorEastAsia" w:cstheme="minorEastAsia"/>
                <w:kern w:val="2"/>
                <w:sz w:val="21"/>
                <w:szCs w:val="21"/>
                <w:lang w:val="en-US" w:bidi="ar-SA"/>
              </w:rPr>
              <w:t>一般参数（非加</w:t>
            </w:r>
            <w:r>
              <w:rPr>
                <w:rFonts w:asciiTheme="minorEastAsia" w:hAnsiTheme="minorEastAsia" w:eastAsiaTheme="minorEastAsia" w:cstheme="minorEastAsia"/>
                <w:kern w:val="2"/>
                <w:sz w:val="21"/>
                <w:szCs w:val="21"/>
                <w:lang w:val="en-US" w:bidi="ar-SA"/>
              </w:rPr>
              <w:t>“★”</w:t>
            </w:r>
            <w:r>
              <w:rPr>
                <w:rFonts w:hint="eastAsia" w:asciiTheme="minorEastAsia" w:hAnsiTheme="minorEastAsia" w:eastAsiaTheme="minorEastAsia" w:cstheme="minorEastAsia"/>
                <w:kern w:val="2"/>
                <w:sz w:val="21"/>
                <w:szCs w:val="21"/>
                <w:lang w:val="en-US" w:bidi="ar-SA"/>
              </w:rPr>
              <w:t>条款）每负偏离一项扣3分；扣完为止，正偏离不加分。</w:t>
            </w:r>
          </w:p>
        </w:tc>
        <w:tc>
          <w:tcPr>
            <w:tcW w:w="1057" w:type="dxa"/>
            <w:vAlign w:val="center"/>
          </w:tcPr>
          <w:p>
            <w:pPr>
              <w:spacing w:before="4" w:line="360" w:lineRule="auto"/>
              <w:jc w:val="center"/>
              <w:rPr>
                <w:sz w:val="24"/>
              </w:rPr>
            </w:pPr>
            <w:r>
              <w:rPr>
                <w:rFonts w:hint="eastAsia"/>
                <w:sz w:val="24"/>
              </w:rPr>
              <w:t>15</w:t>
            </w:r>
          </w:p>
        </w:tc>
        <w:tc>
          <w:tcPr>
            <w:tcW w:w="1007" w:type="dxa"/>
            <w:vAlign w:val="center"/>
          </w:tcPr>
          <w:p>
            <w:pPr>
              <w:spacing w:before="4"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97" w:type="dxa"/>
            <w:vAlign w:val="center"/>
          </w:tcPr>
          <w:p>
            <w:pPr>
              <w:pStyle w:val="25"/>
              <w:spacing w:before="12"/>
              <w:ind w:left="1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w:t>
            </w:r>
          </w:p>
        </w:tc>
        <w:tc>
          <w:tcPr>
            <w:tcW w:w="1799" w:type="dxa"/>
            <w:vAlign w:val="center"/>
          </w:tcPr>
          <w:p>
            <w:pPr>
              <w:pStyle w:val="25"/>
              <w:spacing w:before="12"/>
              <w:ind w:left="10"/>
              <w:jc w:val="both"/>
              <w:rPr>
                <w:rFonts w:asciiTheme="minorEastAsia" w:hAnsiTheme="minorEastAsia" w:eastAsiaTheme="minorEastAsia" w:cstheme="minorEastAsia"/>
                <w:kern w:val="2"/>
                <w:sz w:val="21"/>
                <w:szCs w:val="21"/>
                <w:lang w:val="en-US" w:bidi="ar-SA"/>
              </w:rPr>
            </w:pPr>
            <w:r>
              <w:rPr>
                <w:rFonts w:hint="eastAsia" w:asciiTheme="minorEastAsia" w:hAnsiTheme="minorEastAsia" w:eastAsiaTheme="minorEastAsia" w:cstheme="minorEastAsia"/>
                <w:kern w:val="2"/>
                <w:sz w:val="21"/>
                <w:szCs w:val="21"/>
                <w:lang w:val="en-US" w:bidi="ar-SA"/>
              </w:rPr>
              <w:t>产品质量的实用性和可靠性</w:t>
            </w:r>
          </w:p>
        </w:tc>
        <w:tc>
          <w:tcPr>
            <w:tcW w:w="4521" w:type="dxa"/>
            <w:vAlign w:val="center"/>
          </w:tcPr>
          <w:p>
            <w:pPr>
              <w:pStyle w:val="25"/>
              <w:spacing w:before="12"/>
              <w:ind w:left="10"/>
              <w:jc w:val="both"/>
              <w:rPr>
                <w:rFonts w:asciiTheme="minorEastAsia" w:hAnsiTheme="minorEastAsia" w:eastAsiaTheme="minorEastAsia" w:cstheme="minorEastAsia"/>
                <w:kern w:val="2"/>
                <w:sz w:val="21"/>
                <w:szCs w:val="21"/>
                <w:lang w:val="en-US" w:bidi="ar-SA"/>
              </w:rPr>
            </w:pPr>
            <w:r>
              <w:rPr>
                <w:rFonts w:hint="eastAsia" w:asciiTheme="minorEastAsia" w:hAnsiTheme="minorEastAsia" w:eastAsiaTheme="minorEastAsia" w:cstheme="minorEastAsia"/>
                <w:kern w:val="2"/>
                <w:sz w:val="21"/>
                <w:szCs w:val="21"/>
                <w:lang w:val="en-US" w:bidi="ar-SA"/>
              </w:rPr>
              <w:t>投标产品质量可靠，</w:t>
            </w:r>
            <w:r>
              <w:rPr>
                <w:rFonts w:hint="eastAsia" w:asciiTheme="minorEastAsia" w:hAnsiTheme="minorEastAsia" w:eastAsiaTheme="minorEastAsia" w:cstheme="minorEastAsia"/>
                <w:kern w:val="2"/>
                <w:sz w:val="21"/>
                <w:szCs w:val="21"/>
                <w:lang w:val="en-US" w:eastAsia="zh-CN" w:bidi="ar-SA"/>
              </w:rPr>
              <w:t>设备、材料等</w:t>
            </w:r>
            <w:r>
              <w:rPr>
                <w:rFonts w:hint="eastAsia" w:asciiTheme="minorEastAsia" w:hAnsiTheme="minorEastAsia" w:eastAsiaTheme="minorEastAsia" w:cstheme="minorEastAsia"/>
                <w:kern w:val="2"/>
                <w:sz w:val="21"/>
                <w:szCs w:val="21"/>
                <w:lang w:val="en-US" w:bidi="ar-SA"/>
              </w:rPr>
              <w:t>具备相关部门检验报告的，计5分；未提供相关部门质量检验报告的，计</w:t>
            </w:r>
            <w:r>
              <w:rPr>
                <w:rFonts w:asciiTheme="minorEastAsia" w:hAnsiTheme="minorEastAsia" w:eastAsiaTheme="minorEastAsia" w:cstheme="minorEastAsia"/>
                <w:kern w:val="2"/>
                <w:sz w:val="21"/>
                <w:szCs w:val="21"/>
                <w:lang w:val="en-US" w:bidi="ar-SA"/>
              </w:rPr>
              <w:t>0</w:t>
            </w:r>
            <w:r>
              <w:rPr>
                <w:rFonts w:hint="eastAsia" w:asciiTheme="minorEastAsia" w:hAnsiTheme="minorEastAsia" w:eastAsiaTheme="minorEastAsia" w:cstheme="minorEastAsia"/>
                <w:kern w:val="2"/>
                <w:sz w:val="21"/>
                <w:szCs w:val="21"/>
                <w:lang w:val="en-US" w:bidi="ar-SA"/>
              </w:rPr>
              <w:t>分。</w:t>
            </w:r>
          </w:p>
        </w:tc>
        <w:tc>
          <w:tcPr>
            <w:tcW w:w="1057" w:type="dxa"/>
            <w:vAlign w:val="center"/>
          </w:tcPr>
          <w:p>
            <w:pPr>
              <w:pStyle w:val="25"/>
              <w:spacing w:before="12"/>
              <w:ind w:left="10"/>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w:t>
            </w:r>
          </w:p>
        </w:tc>
        <w:tc>
          <w:tcPr>
            <w:tcW w:w="1007" w:type="dxa"/>
            <w:vAlign w:val="center"/>
          </w:tcPr>
          <w:p>
            <w:pPr>
              <w:pStyle w:val="25"/>
              <w:spacing w:before="12"/>
              <w:ind w:left="10"/>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0</w:t>
            </w:r>
          </w:p>
        </w:tc>
      </w:tr>
    </w:tbl>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pStyle w:val="25"/>
        <w:spacing w:before="12"/>
        <w:ind w:left="10"/>
        <w:rPr>
          <w:rFonts w:asciiTheme="minorEastAsia" w:hAnsiTheme="minorEastAsia" w:eastAsiaTheme="minorEastAsia" w:cstheme="minorEastAsia"/>
          <w:kern w:val="2"/>
          <w:sz w:val="24"/>
          <w:szCs w:val="24"/>
          <w:lang w:val="en-US" w:bidi="ar-SA"/>
        </w:rPr>
      </w:pPr>
    </w:p>
    <w:p>
      <w:pPr>
        <w:spacing w:before="28"/>
        <w:ind w:right="99"/>
        <w:jc w:val="both"/>
        <w:rPr>
          <w:rFonts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8"/>
        <w:ind w:left="5250"/>
        <w:rPr>
          <w:sz w:val="20"/>
        </w:rPr>
      </w:pPr>
    </w:p>
    <w:p>
      <w:pPr>
        <w:pStyle w:val="8"/>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60288"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8"/>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60288;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XPC12AAAAAsBAAAPAAAAAAAAAAEA&#10;IAAAACIAAABkcnMvZG93bnJldi54bWxQSwECFAAUAAAACACHTuJAObsQYQ8CAAAGBAAADgAAAAAA&#10;AAABACAAAAAnAQAAZHJzL2Uyb0RvYy54bWxQSwUGAAAAAAYABgBZAQAAqAUAAAAA&#10;">
                <v:fill on="f" focussize="0,0"/>
                <v:stroke on="f"/>
                <v:imagedata o:title=""/>
                <o:lock v:ext="edit" aspectratio="f"/>
                <v:textbox inset="0mm,0mm,0mm,0mm">
                  <w:txbxContent>
                    <w:p>
                      <w:pPr>
                        <w:pStyle w:val="8"/>
                        <w:ind w:left="5250"/>
                      </w:pPr>
                    </w:p>
                  </w:txbxContent>
                </v:textbox>
              </v:shape>
            </w:pict>
          </mc:Fallback>
        </mc:AlternateContent>
      </w:r>
      <w:r>
        <w:rPr>
          <w:b/>
          <w:sz w:val="24"/>
        </w:rPr>
        <w:t>一所需货物名称、规格及价格：</w:t>
      </w:r>
    </w:p>
    <w:tbl>
      <w:tblPr>
        <w:tblStyle w:val="15"/>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5"/>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5"/>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5"/>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5"/>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5"/>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5"/>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5"/>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513"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5"/>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513"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5"/>
              <w:spacing w:before="9"/>
              <w:rPr>
                <w:rFonts w:ascii="新宋体"/>
                <w:sz w:val="19"/>
              </w:rPr>
            </w:pPr>
          </w:p>
          <w:p>
            <w:pPr>
              <w:pStyle w:val="25"/>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5"/>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5"/>
              <w:spacing w:before="27"/>
              <w:ind w:left="105"/>
              <w:rPr>
                <w:rFonts w:ascii="新宋体" w:eastAsia="新宋体"/>
              </w:rPr>
            </w:pPr>
            <w:r>
              <w:rPr>
                <w:rFonts w:hint="eastAsia" w:ascii="新宋体" w:eastAsia="新宋体"/>
              </w:rPr>
              <w:t>大写：</w:t>
            </w:r>
          </w:p>
        </w:tc>
      </w:tr>
    </w:tbl>
    <w:p>
      <w:pPr>
        <w:tabs>
          <w:tab w:val="left" w:pos="659"/>
        </w:tabs>
        <w:spacing w:line="480" w:lineRule="exact"/>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480" w:lineRule="exact"/>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480" w:lineRule="exact"/>
        <w:ind w:right="536"/>
        <w:rPr>
          <w:rFonts w:ascii="新宋体" w:eastAsia="新宋体"/>
          <w:sz w:val="24"/>
        </w:rPr>
      </w:pPr>
      <w:r>
        <w:rPr>
          <w:rFonts w:hint="eastAsia" w:ascii="新宋体" w:eastAsia="新宋体"/>
          <w:sz w:val="24"/>
        </w:rPr>
        <w:t>卖方应向用户提供以下技术文件：</w:t>
      </w:r>
    </w:p>
    <w:p>
      <w:pPr>
        <w:spacing w:before="118" w:line="480" w:lineRule="exact"/>
        <w:ind w:right="536"/>
        <w:rPr>
          <w:rFonts w:ascii="新宋体" w:eastAsia="新宋体"/>
          <w:sz w:val="24"/>
        </w:rPr>
      </w:pPr>
      <w:r>
        <w:rPr>
          <w:rFonts w:hint="eastAsia" w:ascii="新宋体" w:eastAsia="新宋体"/>
          <w:sz w:val="24"/>
        </w:rPr>
        <w:t>1、 设备使用手册、安装使用指南、维护维修（含线路图）说明书或服务手册。</w:t>
      </w:r>
      <w:r>
        <w:rPr>
          <w:rFonts w:hint="eastAsia" w:ascii="新宋体" w:eastAsia="新宋体"/>
          <w:sz w:val="24"/>
          <w:lang w:val="en-US" w:eastAsia="zh-CN"/>
        </w:rPr>
        <w:t>进口设备及备件</w:t>
      </w:r>
      <w:r>
        <w:rPr>
          <w:rFonts w:hint="eastAsia" w:ascii="新宋体" w:eastAsia="新宋体"/>
          <w:sz w:val="24"/>
        </w:rPr>
        <w:t>资料必须提供中、英文对照文本；</w:t>
      </w:r>
    </w:p>
    <w:p>
      <w:pPr>
        <w:spacing w:line="480" w:lineRule="exact"/>
        <w:ind w:right="536"/>
        <w:rPr>
          <w:rFonts w:ascii="新宋体" w:eastAsia="新宋体"/>
          <w:sz w:val="24"/>
        </w:rPr>
      </w:pPr>
      <w:r>
        <w:rPr>
          <w:rFonts w:hint="eastAsia" w:ascii="新宋体" w:eastAsia="新宋体"/>
          <w:sz w:val="24"/>
        </w:rPr>
        <w:t>2、 设备技术参数表、设备制造、安装、调试、验收规范；</w:t>
      </w:r>
    </w:p>
    <w:p>
      <w:pPr>
        <w:spacing w:before="118" w:line="480" w:lineRule="exact"/>
        <w:ind w:right="536"/>
        <w:rPr>
          <w:rFonts w:ascii="新宋体" w:eastAsia="新宋体"/>
          <w:sz w:val="24"/>
        </w:rPr>
      </w:pPr>
      <w:r>
        <w:rPr>
          <w:rFonts w:hint="eastAsia" w:ascii="新宋体" w:eastAsia="新宋体"/>
          <w:sz w:val="24"/>
        </w:rPr>
        <w:t>3、 中文操作手册、安装、调试及使用说明书；</w:t>
      </w:r>
    </w:p>
    <w:p>
      <w:pPr>
        <w:spacing w:before="118" w:line="480" w:lineRule="exact"/>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480" w:lineRule="exact"/>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480" w:lineRule="exact"/>
        <w:ind w:right="536"/>
        <w:rPr>
          <w:rFonts w:ascii="新宋体" w:eastAsia="新宋体"/>
          <w:sz w:val="24"/>
        </w:rPr>
      </w:pPr>
      <w:r>
        <w:rPr>
          <w:rFonts w:hint="eastAsia" w:ascii="新宋体" w:eastAsia="新宋体"/>
          <w:sz w:val="24"/>
        </w:rPr>
        <w:t>6、 须提供海关报关单（如为进口设备）；</w:t>
      </w:r>
    </w:p>
    <w:p>
      <w:pPr>
        <w:tabs>
          <w:tab w:val="left" w:pos="657"/>
        </w:tabs>
        <w:spacing w:line="480" w:lineRule="exact"/>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480" w:lineRule="exact"/>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480" w:lineRule="exact"/>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480" w:lineRule="exact"/>
        <w:ind w:right="536"/>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spacing w:line="480" w:lineRule="exact"/>
        <w:ind w:right="536"/>
        <w:rPr>
          <w:rFonts w:ascii="新宋体" w:eastAsia="新宋体"/>
          <w:sz w:val="24"/>
        </w:rPr>
        <w:sectPr>
          <w:footerReference r:id="rId3" w:type="default"/>
          <w:pgSz w:w="11910" w:h="16840"/>
          <w:pgMar w:top="1560" w:right="995" w:bottom="780" w:left="1460" w:header="0" w:footer="500" w:gutter="0"/>
          <w:pgBorders>
            <w:top w:val="none" w:sz="0" w:space="0"/>
            <w:left w:val="none" w:sz="0" w:space="0"/>
            <w:bottom w:val="none" w:sz="0" w:space="0"/>
            <w:right w:val="none" w:sz="0" w:space="0"/>
          </w:pgBorders>
          <w:cols w:space="720" w:num="1"/>
        </w:sectPr>
      </w:pPr>
    </w:p>
    <w:p>
      <w:pPr>
        <w:tabs>
          <w:tab w:val="left" w:pos="659"/>
        </w:tabs>
        <w:spacing w:before="58" w:line="480" w:lineRule="exact"/>
        <w:ind w:right="536"/>
        <w:rPr>
          <w:rFonts w:ascii="新宋体" w:eastAsia="新宋体"/>
          <w:b/>
          <w:sz w:val="24"/>
        </w:rPr>
      </w:pPr>
      <w:r>
        <w:rPr>
          <w:rFonts w:hint="eastAsia" w:ascii="新宋体" w:eastAsia="新宋体"/>
          <w:b/>
          <w:sz w:val="24"/>
        </w:rPr>
        <w:t>四</w:t>
      </w:r>
      <w:r>
        <w:rPr>
          <w:rFonts w:hint="eastAsia" w:ascii="新宋体" w:eastAsia="新宋体"/>
          <w:b/>
          <w:sz w:val="24"/>
        </w:rPr>
        <w:tab/>
      </w:r>
      <w:r>
        <w:rPr>
          <w:rFonts w:hint="eastAsia" w:ascii="新宋体" w:eastAsia="新宋体"/>
          <w:b/>
          <w:sz w:val="24"/>
        </w:rPr>
        <w:t>设备安装与验收：</w:t>
      </w:r>
    </w:p>
    <w:p>
      <w:pPr>
        <w:spacing w:before="118" w:line="480" w:lineRule="exact"/>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480" w:lineRule="exact"/>
        <w:ind w:right="536"/>
        <w:rPr>
          <w:rFonts w:ascii="新宋体" w:eastAsia="新宋体"/>
          <w:sz w:val="24"/>
        </w:rPr>
      </w:pPr>
      <w:r>
        <w:rPr>
          <w:rFonts w:hint="eastAsia" w:ascii="新宋体" w:eastAsia="新宋体"/>
          <w:sz w:val="24"/>
        </w:rPr>
        <w:t>2、 验收地点：用户单位。</w:t>
      </w:r>
    </w:p>
    <w:p>
      <w:pPr>
        <w:spacing w:before="118" w:line="480" w:lineRule="exact"/>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480" w:lineRule="exact"/>
        <w:ind w:right="536"/>
        <w:rPr>
          <w:rFonts w:ascii="新宋体" w:eastAsia="新宋体"/>
          <w:b/>
          <w:sz w:val="24"/>
        </w:rPr>
      </w:pPr>
      <w:r>
        <w:rPr>
          <w:rFonts w:hint="eastAsia" w:ascii="新宋体" w:eastAsia="新宋体"/>
          <w:b/>
          <w:sz w:val="24"/>
        </w:rPr>
        <w:t>五 培 训 ：</w:t>
      </w:r>
    </w:p>
    <w:p>
      <w:pPr>
        <w:spacing w:before="118" w:line="480" w:lineRule="exact"/>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480" w:lineRule="exact"/>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before="118" w:line="480" w:lineRule="exact"/>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480" w:lineRule="exact"/>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480" w:lineRule="exact"/>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w:t>
      </w:r>
      <w:r>
        <w:rPr>
          <w:rFonts w:hint="eastAsia" w:ascii="新宋体" w:eastAsia="新宋体"/>
          <w:sz w:val="24"/>
          <w:lang w:val="en-US" w:eastAsia="zh-CN"/>
        </w:rPr>
        <w:t>维修或</w:t>
      </w:r>
      <w:r>
        <w:rPr>
          <w:rFonts w:hint="eastAsia" w:ascii="新宋体" w:eastAsia="新宋体"/>
          <w:sz w:val="24"/>
        </w:rPr>
        <w:t>更换。</w:t>
      </w:r>
    </w:p>
    <w:p>
      <w:pPr>
        <w:tabs>
          <w:tab w:val="left" w:pos="659"/>
        </w:tabs>
        <w:spacing w:before="1" w:line="480" w:lineRule="exact"/>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480" w:lineRule="exact"/>
        <w:ind w:right="536"/>
        <w:rPr>
          <w:rFonts w:ascii="新宋体" w:eastAsia="新宋体"/>
          <w:sz w:val="24"/>
        </w:rPr>
      </w:pPr>
      <w:r>
        <w:rPr>
          <w:rFonts w:hint="eastAsia" w:ascii="新宋体" w:eastAsia="新宋体"/>
          <w:sz w:val="24"/>
        </w:rPr>
        <w:t>1、 卖方应提供按出厂标准供应的备品备件清单。</w:t>
      </w:r>
    </w:p>
    <w:p>
      <w:pPr>
        <w:spacing w:before="118" w:line="480" w:lineRule="exact"/>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480" w:lineRule="exact"/>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480" w:lineRule="exact"/>
        <w:ind w:right="536"/>
        <w:rPr>
          <w:rFonts w:ascii="新宋体" w:eastAsia="新宋体"/>
          <w:sz w:val="24"/>
        </w:rPr>
      </w:pPr>
      <w:r>
        <w:rPr>
          <w:rFonts w:hint="eastAsia" w:ascii="新宋体" w:eastAsia="新宋体"/>
          <w:sz w:val="24"/>
        </w:rPr>
        <w:t>1、 在货物的质保期内，如有制造质量的问题或质量缺陷，卖方应免费予以</w:t>
      </w:r>
      <w:r>
        <w:rPr>
          <w:rFonts w:hint="eastAsia" w:ascii="新宋体" w:eastAsia="新宋体"/>
          <w:sz w:val="24"/>
          <w:lang w:val="en-US" w:eastAsia="zh-CN"/>
        </w:rPr>
        <w:t>维修或</w:t>
      </w:r>
      <w:r>
        <w:rPr>
          <w:rFonts w:hint="eastAsia" w:ascii="新宋体" w:eastAsia="新宋体"/>
          <w:sz w:val="24"/>
        </w:rPr>
        <w:t>更换，保证用户工作及时正常运行。在用户使用的头三个月内，同一台设备</w:t>
      </w:r>
      <w:r>
        <w:rPr>
          <w:rFonts w:hint="eastAsia" w:ascii="新宋体" w:eastAsia="新宋体"/>
          <w:sz w:val="24"/>
          <w:lang w:val="en-US" w:eastAsia="zh-CN"/>
        </w:rPr>
        <w:t>或部件等</w:t>
      </w:r>
      <w:r>
        <w:rPr>
          <w:rFonts w:hint="eastAsia" w:ascii="新宋体" w:eastAsia="新宋体"/>
          <w:sz w:val="24"/>
        </w:rPr>
        <w:t>出现第二次质量问题，卖方应免费整体更换。卖方须在质保期内应免费提供备件并</w:t>
      </w:r>
      <w:r>
        <w:rPr>
          <w:rFonts w:hint="eastAsia" w:ascii="新宋体" w:eastAsia="新宋体"/>
          <w:sz w:val="24"/>
          <w:lang w:val="en-US" w:eastAsia="zh-CN"/>
        </w:rPr>
        <w:t>承担</w:t>
      </w:r>
      <w:r>
        <w:rPr>
          <w:rFonts w:hint="eastAsia" w:ascii="新宋体" w:eastAsia="新宋体"/>
          <w:sz w:val="24"/>
        </w:rPr>
        <w:t>终身</w:t>
      </w:r>
      <w:r>
        <w:rPr>
          <w:rFonts w:hint="eastAsia" w:ascii="新宋体" w:eastAsia="新宋体"/>
          <w:sz w:val="24"/>
          <w:lang w:val="en-US" w:eastAsia="zh-CN"/>
        </w:rPr>
        <w:t>有价</w:t>
      </w:r>
      <w:r>
        <w:rPr>
          <w:rFonts w:hint="eastAsia" w:ascii="新宋体" w:eastAsia="新宋体"/>
          <w:sz w:val="24"/>
        </w:rPr>
        <w:t>维修</w:t>
      </w:r>
      <w:r>
        <w:rPr>
          <w:rFonts w:hint="eastAsia" w:ascii="新宋体" w:eastAsia="新宋体"/>
          <w:sz w:val="24"/>
          <w:lang w:val="en-US" w:eastAsia="zh-CN"/>
        </w:rPr>
        <w:t>责任</w:t>
      </w:r>
      <w:r>
        <w:rPr>
          <w:rFonts w:hint="eastAsia" w:ascii="新宋体" w:eastAsia="新宋体"/>
          <w:sz w:val="24"/>
        </w:rPr>
        <w:t>。</w:t>
      </w:r>
    </w:p>
    <w:p>
      <w:pPr>
        <w:spacing w:line="480" w:lineRule="exact"/>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480" w:lineRule="exact"/>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480" w:lineRule="exact"/>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480" w:lineRule="exact"/>
        <w:ind w:right="536"/>
        <w:rPr>
          <w:rFonts w:ascii="新宋体" w:eastAsia="新宋体"/>
          <w:sz w:val="24"/>
        </w:rPr>
      </w:pPr>
      <w:r>
        <w:rPr>
          <w:rFonts w:hint="eastAsia" w:ascii="新宋体" w:eastAsia="新宋体"/>
          <w:sz w:val="24"/>
        </w:rPr>
        <w:t xml:space="preserve">1、 交货时间： </w:t>
      </w:r>
      <w:r>
        <w:rPr>
          <w:rFonts w:hint="eastAsia" w:ascii="新宋体" w:eastAsia="新宋体"/>
          <w:sz w:val="24"/>
          <w:lang w:val="en-US" w:eastAsia="zh-CN"/>
        </w:rPr>
        <w:t>30</w:t>
      </w:r>
      <w:r>
        <w:rPr>
          <w:rFonts w:hint="eastAsia" w:ascii="新宋体" w:eastAsia="新宋体"/>
          <w:sz w:val="24"/>
        </w:rPr>
        <w:t>日历天内</w:t>
      </w:r>
    </w:p>
    <w:p>
      <w:pPr>
        <w:spacing w:before="118" w:line="480" w:lineRule="exact"/>
        <w:ind w:right="536"/>
        <w:rPr>
          <w:rFonts w:ascii="新宋体" w:eastAsia="新宋体"/>
          <w:sz w:val="24"/>
        </w:rPr>
      </w:pPr>
      <w:r>
        <w:rPr>
          <w:rFonts w:hint="eastAsia" w:ascii="新宋体" w:eastAsia="新宋体"/>
          <w:sz w:val="24"/>
        </w:rPr>
        <w:t>2、 交货地点：招标人指定地点</w:t>
      </w:r>
    </w:p>
    <w:p>
      <w:pPr>
        <w:spacing w:before="118" w:line="480" w:lineRule="exact"/>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注：如是进口设备须由中标人自行办理一切相关手续，若因手续问题导致无法交货，</w:t>
      </w:r>
      <w:r>
        <w:rPr>
          <w:rFonts w:hint="eastAsia" w:ascii="新宋体" w:eastAsia="新宋体"/>
          <w:b/>
          <w:sz w:val="24"/>
        </w:rPr>
        <w:t>全部责任由中标人承担。招标人有权进行重新采购。）</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480" w:lineRule="exact"/>
        <w:ind w:right="536"/>
        <w:rPr>
          <w:rFonts w:ascii="新宋体" w:eastAsia="新宋体"/>
          <w:sz w:val="24"/>
        </w:rPr>
      </w:pPr>
      <w:r>
        <w:rPr>
          <w:rFonts w:hint="eastAsia" w:ascii="新宋体" w:eastAsia="新宋体"/>
          <w:sz w:val="24"/>
        </w:rPr>
        <w:t>1、 支付方式：合同签订后7天内支付合同价款的30%，货物到场</w:t>
      </w:r>
      <w:r>
        <w:rPr>
          <w:rFonts w:hint="eastAsia" w:ascii="新宋体" w:eastAsia="新宋体"/>
          <w:sz w:val="24"/>
          <w:lang w:val="en-US" w:eastAsia="zh-CN"/>
        </w:rPr>
        <w:t>安装前，甲方验收合格后</w:t>
      </w:r>
      <w:r>
        <w:rPr>
          <w:rFonts w:hint="eastAsia" w:ascii="新宋体" w:eastAsia="新宋体"/>
          <w:sz w:val="24"/>
        </w:rPr>
        <w:t>支付至合同价款的60%</w:t>
      </w:r>
      <w:r>
        <w:rPr>
          <w:rFonts w:hint="eastAsia" w:ascii="新宋体" w:eastAsia="新宋体"/>
          <w:sz w:val="24"/>
          <w:lang w:eastAsia="zh-CN"/>
        </w:rPr>
        <w:t>，</w:t>
      </w:r>
      <w:r>
        <w:rPr>
          <w:rFonts w:hint="eastAsia" w:ascii="新宋体" w:eastAsia="新宋体"/>
          <w:sz w:val="24"/>
        </w:rPr>
        <w:t>安装验收合格后支付至合同价款的90%，留10%</w:t>
      </w:r>
      <w:r>
        <w:rPr>
          <w:rFonts w:hint="eastAsia" w:ascii="新宋体" w:eastAsia="新宋体"/>
          <w:sz w:val="24"/>
          <w:lang w:val="en-US" w:eastAsia="zh-CN"/>
        </w:rPr>
        <w:t xml:space="preserve"> </w:t>
      </w:r>
      <w:r>
        <w:rPr>
          <w:rFonts w:hint="eastAsia" w:ascii="新宋体" w:eastAsia="新宋体"/>
          <w:sz w:val="24"/>
        </w:rPr>
        <w:t>的质保金</w:t>
      </w:r>
      <w:r>
        <w:rPr>
          <w:rFonts w:hint="eastAsia" w:ascii="新宋体" w:eastAsia="新宋体"/>
          <w:sz w:val="24"/>
          <w:lang w:eastAsia="zh-CN"/>
        </w:rPr>
        <w:t>，</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r>
        <w:rPr>
          <w:rFonts w:hint="eastAsia" w:ascii="新宋体" w:eastAsia="新宋体"/>
          <w:sz w:val="24"/>
        </w:rPr>
        <w:t>。</w:t>
      </w:r>
    </w:p>
    <w:p>
      <w:pPr>
        <w:spacing w:before="4" w:line="480" w:lineRule="exact"/>
        <w:ind w:right="536"/>
        <w:rPr>
          <w:rFonts w:ascii="新宋体" w:eastAsia="新宋体"/>
          <w:sz w:val="24"/>
        </w:rPr>
      </w:pPr>
      <w:r>
        <w:rPr>
          <w:rFonts w:hint="eastAsia" w:ascii="新宋体" w:eastAsia="新宋体"/>
          <w:sz w:val="24"/>
        </w:rPr>
        <w:t>2、 付款单位：湖南省湘澧盐化有限责任公司</w:t>
      </w:r>
    </w:p>
    <w:p>
      <w:pPr>
        <w:spacing w:line="480" w:lineRule="exact"/>
        <w:ind w:right="536"/>
        <w:rPr>
          <w:rFonts w:ascii="新宋体" w:eastAsia="新宋体"/>
          <w:b/>
          <w:sz w:val="24"/>
        </w:rPr>
      </w:pPr>
      <w:r>
        <w:rPr>
          <w:rFonts w:hint="eastAsia" w:ascii="新宋体" w:eastAsia="新宋体"/>
          <w:b/>
          <w:sz w:val="24"/>
        </w:rPr>
        <w:t>十二 违约责任：</w:t>
      </w:r>
    </w:p>
    <w:p>
      <w:pPr>
        <w:pStyle w:val="23"/>
        <w:numPr>
          <w:ilvl w:val="0"/>
          <w:numId w:val="0"/>
        </w:numPr>
        <w:tabs>
          <w:tab w:val="left" w:pos="0"/>
        </w:tabs>
        <w:spacing w:line="480" w:lineRule="exact"/>
        <w:ind w:leftChars="0" w:right="536" w:rightChars="0"/>
        <w:rPr>
          <w:rFonts w:ascii="新宋体" w:hAnsi="新宋体" w:eastAsia="新宋体"/>
          <w:sz w:val="24"/>
          <w:szCs w:val="24"/>
        </w:rPr>
      </w:pPr>
      <w:r>
        <w:rPr>
          <w:rFonts w:hint="eastAsia" w:ascii="新宋体" w:hAnsi="新宋体" w:eastAsia="新宋体"/>
          <w:sz w:val="24"/>
          <w:szCs w:val="24"/>
          <w:lang w:val="en-US" w:eastAsia="zh-CN"/>
        </w:rPr>
        <w:t>1、</w:t>
      </w: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3"/>
        <w:numPr>
          <w:ilvl w:val="0"/>
          <w:numId w:val="0"/>
        </w:numPr>
        <w:tabs>
          <w:tab w:val="left" w:pos="0"/>
        </w:tabs>
        <w:spacing w:line="480" w:lineRule="exact"/>
        <w:ind w:leftChars="0" w:right="536" w:rightChars="0"/>
        <w:rPr>
          <w:rFonts w:ascii="新宋体" w:eastAsia="新宋体"/>
          <w:sz w:val="24"/>
          <w:szCs w:val="24"/>
        </w:rPr>
      </w:pPr>
      <w:r>
        <w:rPr>
          <w:rFonts w:hint="eastAsia" w:ascii="新宋体" w:eastAsia="新宋体"/>
          <w:spacing w:val="-1"/>
          <w:sz w:val="24"/>
          <w:szCs w:val="24"/>
          <w:lang w:val="en-US" w:eastAsia="zh-CN"/>
        </w:rPr>
        <w:t>2、</w:t>
      </w: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3"/>
        <w:numPr>
          <w:ilvl w:val="0"/>
          <w:numId w:val="0"/>
        </w:numPr>
        <w:tabs>
          <w:tab w:val="left" w:pos="0"/>
        </w:tabs>
        <w:spacing w:line="480" w:lineRule="exact"/>
        <w:ind w:leftChars="0" w:right="536" w:rightChars="0"/>
        <w:rPr>
          <w:rFonts w:ascii="新宋体" w:eastAsia="新宋体"/>
          <w:sz w:val="24"/>
          <w:szCs w:val="24"/>
        </w:rPr>
      </w:pPr>
      <w:r>
        <w:rPr>
          <w:rFonts w:hint="eastAsia" w:ascii="新宋体" w:eastAsia="新宋体"/>
          <w:sz w:val="24"/>
          <w:szCs w:val="24"/>
          <w:lang w:val="en-US" w:eastAsia="zh-CN"/>
        </w:rPr>
        <w:t>3、</w:t>
      </w: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3"/>
        <w:numPr>
          <w:ilvl w:val="0"/>
          <w:numId w:val="0"/>
        </w:numPr>
        <w:tabs>
          <w:tab w:val="left" w:pos="0"/>
        </w:tabs>
        <w:spacing w:line="480" w:lineRule="exact"/>
        <w:ind w:leftChars="0" w:right="536" w:rightChars="0"/>
        <w:rPr>
          <w:rFonts w:ascii="新宋体" w:eastAsia="新宋体"/>
          <w:sz w:val="24"/>
          <w:szCs w:val="24"/>
        </w:rPr>
      </w:pPr>
      <w:r>
        <w:rPr>
          <w:rFonts w:hint="eastAsia" w:ascii="新宋体" w:eastAsia="新宋体"/>
          <w:sz w:val="24"/>
          <w:szCs w:val="24"/>
          <w:lang w:val="en-US" w:eastAsia="zh-CN"/>
        </w:rPr>
        <w:t>4、</w:t>
      </w: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480" w:lineRule="exact"/>
        <w:ind w:right="536"/>
        <w:rPr>
          <w:rFonts w:ascii="新宋体" w:eastAsia="新宋体"/>
          <w:sz w:val="24"/>
        </w:rPr>
      </w:pPr>
      <w:r>
        <w:rPr>
          <w:rFonts w:hint="eastAsia" w:ascii="新宋体" w:eastAsia="新宋体"/>
          <w:sz w:val="24"/>
        </w:rPr>
        <w:t>标志、包装、说明书、运输、贮存等都应执行国家的有关规定。</w:t>
      </w:r>
    </w:p>
    <w:p>
      <w:pPr>
        <w:spacing w:before="118" w:line="480" w:lineRule="exact"/>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480" w:lineRule="exact"/>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480" w:lineRule="exact"/>
        <w:ind w:right="536"/>
        <w:rPr>
          <w:rFonts w:ascii="新宋体" w:eastAsia="新宋体"/>
          <w:sz w:val="24"/>
        </w:rPr>
      </w:pPr>
      <w:r>
        <w:rPr>
          <w:rFonts w:hint="eastAsia" w:ascii="新宋体" w:eastAsia="新宋体"/>
          <w:sz w:val="24"/>
        </w:rPr>
        <w:t>3、 下列文件属合同的依据和附件：</w:t>
      </w:r>
    </w:p>
    <w:p>
      <w:pPr>
        <w:spacing w:before="58" w:line="480" w:lineRule="exact"/>
        <w:ind w:right="536"/>
        <w:rPr>
          <w:rFonts w:ascii="新宋体" w:eastAsia="新宋体"/>
          <w:sz w:val="24"/>
        </w:rPr>
      </w:pPr>
      <w:r>
        <w:rPr>
          <w:rFonts w:hint="eastAsia" w:ascii="新宋体" w:eastAsia="新宋体"/>
          <w:sz w:val="24"/>
        </w:rPr>
        <w:t>a、文件、补充说明及中标通知书；</w:t>
      </w:r>
    </w:p>
    <w:p>
      <w:pPr>
        <w:spacing w:before="118" w:line="480" w:lineRule="exact"/>
        <w:ind w:right="536"/>
        <w:rPr>
          <w:rFonts w:ascii="新宋体" w:eastAsia="新宋体"/>
          <w:sz w:val="24"/>
        </w:rPr>
      </w:pPr>
      <w:r>
        <w:rPr>
          <w:rFonts w:hint="eastAsia" w:ascii="新宋体" w:eastAsia="新宋体"/>
          <w:sz w:val="24"/>
        </w:rPr>
        <w:t>b、投标书、投标补充说明、服务承诺；</w:t>
      </w:r>
    </w:p>
    <w:p>
      <w:pPr>
        <w:spacing w:before="118" w:line="480" w:lineRule="exact"/>
        <w:ind w:right="536"/>
        <w:rPr>
          <w:rFonts w:hint="eastAsia" w:ascii="新宋体" w:eastAsia="新宋体"/>
          <w:sz w:val="24"/>
        </w:rPr>
      </w:pPr>
      <w:r>
        <w:rPr>
          <w:rFonts w:hint="eastAsia" w:ascii="新宋体" w:eastAsia="新宋体"/>
          <w:sz w:val="24"/>
        </w:rPr>
        <w:t>4、 在本合同签订三十天内，买方若增加购买数量，仍按本合同单价执行。</w:t>
      </w:r>
    </w:p>
    <w:p>
      <w:pPr>
        <w:spacing w:before="118" w:line="480" w:lineRule="exact"/>
        <w:ind w:right="536"/>
        <w:rPr>
          <w:rFonts w:hint="eastAsia" w:ascii="新宋体" w:eastAsia="新宋体"/>
          <w:sz w:val="24"/>
        </w:rPr>
      </w:pPr>
    </w:p>
    <w:p>
      <w:pPr>
        <w:spacing w:before="118" w:line="480" w:lineRule="exact"/>
        <w:ind w:right="536"/>
        <w:rPr>
          <w:rFonts w:hint="eastAsia" w:ascii="新宋体" w:eastAsia="新宋体"/>
          <w:sz w:val="24"/>
        </w:rPr>
      </w:pPr>
    </w:p>
    <w:p>
      <w:pPr>
        <w:spacing w:before="118" w:line="480" w:lineRule="exact"/>
        <w:ind w:right="536"/>
        <w:rPr>
          <w:rFonts w:hint="eastAsia" w:ascii="新宋体" w:eastAsia="新宋体"/>
          <w:sz w:val="24"/>
        </w:rPr>
      </w:pPr>
    </w:p>
    <w:p>
      <w:pPr>
        <w:pStyle w:val="8"/>
        <w:spacing w:before="6" w:line="480" w:lineRule="exact"/>
        <w:ind w:right="536"/>
        <w:rPr>
          <w:rFonts w:ascii="新宋体"/>
          <w:sz w:val="24"/>
          <w:szCs w:val="24"/>
        </w:rPr>
      </w:pPr>
    </w:p>
    <w:tbl>
      <w:tblPr>
        <w:tblStyle w:val="15"/>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8"/>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w:t>
      </w:r>
      <w:r>
        <w:rPr>
          <w:rFonts w:hint="eastAsia"/>
          <w:sz w:val="24"/>
          <w:lang w:val="en-US" w:eastAsia="zh-CN"/>
        </w:rPr>
        <w:t>1</w:t>
      </w:r>
      <w:r>
        <w:rPr>
          <w:rFonts w:hint="eastAsia"/>
          <w:sz w:val="24"/>
        </w:rPr>
        <w:t>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4" w:type="default"/>
          <w:pgSz w:w="11905" w:h="16838"/>
          <w:pgMar w:top="1440" w:right="1640" w:bottom="782" w:left="1700" w:header="0" w:footer="499" w:gutter="0"/>
          <w:pgBorders>
            <w:top w:val="none" w:sz="0" w:space="0"/>
            <w:left w:val="none" w:sz="0" w:space="0"/>
            <w:bottom w:val="none" w:sz="0" w:space="0"/>
            <w:right w:val="none" w:sz="0" w:space="0"/>
          </w:pgBorders>
          <w:cols w:space="0" w:num="1"/>
          <w:rtlGutter w:val="0"/>
          <w:docGrid w:linePitch="0" w:charSpace="0"/>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工</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程</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名</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称：</w:t>
      </w:r>
      <w:r>
        <w:rPr>
          <w:rFonts w:hint="eastAsia"/>
          <w:sz w:val="28"/>
          <w:szCs w:val="28"/>
          <w:lang w:val="en-US" w:eastAsia="zh-CN"/>
        </w:rPr>
        <w:t>生态盐分级分筛建设项目平面回旋筛</w:t>
      </w:r>
    </w:p>
    <w:p>
      <w:pPr>
        <w:rPr>
          <w:rFonts w:asciiTheme="minorEastAsia" w:hAnsiTheme="minorEastAsia" w:eastAsiaTheme="minorEastAsia"/>
          <w:sz w:val="28"/>
          <w:szCs w:val="28"/>
        </w:rPr>
      </w:pPr>
    </w:p>
    <w:p>
      <w:pP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建设单位名称：湖南省湘澧盐化有限责任公司</w:t>
      </w:r>
      <w:r>
        <w:rPr>
          <w:rFonts w:hint="eastAsia" w:asciiTheme="minorEastAsia" w:hAnsiTheme="minorEastAsia" w:eastAsiaTheme="minorEastAsia"/>
          <w:sz w:val="28"/>
          <w:szCs w:val="28"/>
          <w:lang w:val="en-US" w:eastAsia="zh-CN"/>
        </w:rPr>
        <w:t>包装厂</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xml:space="preserve">                                </w:t>
      </w:r>
    </w:p>
    <w:p>
      <w:pPr>
        <w:rPr>
          <w:rFonts w:asciiTheme="minorEastAsia" w:hAnsiTheme="minorEastAsia" w:eastAsiaTheme="minorEastAsia"/>
          <w:sz w:val="30"/>
          <w:szCs w:val="30"/>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报价明细：</w:t>
      </w:r>
    </w:p>
    <w:tbl>
      <w:tblPr>
        <w:tblStyle w:val="15"/>
        <w:tblpPr w:leftFromText="180" w:rightFromText="180" w:vertAnchor="text" w:horzAnchor="page" w:tblpX="1549" w:tblpY="99"/>
        <w:tblOverlap w:val="never"/>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468"/>
        <w:gridCol w:w="1698"/>
        <w:gridCol w:w="763"/>
        <w:gridCol w:w="996"/>
        <w:gridCol w:w="103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blHeader/>
        </w:trPr>
        <w:tc>
          <w:tcPr>
            <w:tcW w:w="425"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序号</w:t>
            </w:r>
          </w:p>
        </w:tc>
        <w:tc>
          <w:tcPr>
            <w:tcW w:w="2468" w:type="dxa"/>
            <w:vAlign w:val="center"/>
          </w:tcPr>
          <w:p>
            <w:pPr>
              <w:spacing w:before="120" w:beforeLines="50"/>
              <w:jc w:val="center"/>
              <w:rPr>
                <w:rFonts w:hint="eastAsia" w:ascii="宋体" w:hAnsi="宋体" w:eastAsia="宋体" w:cs="Arial"/>
                <w:color w:val="000000"/>
                <w:sz w:val="24"/>
                <w:lang w:eastAsia="zh-CN"/>
              </w:rPr>
            </w:pPr>
            <w:r>
              <w:rPr>
                <w:rFonts w:hint="eastAsia" w:ascii="宋体" w:hAnsi="宋体" w:cs="Arial"/>
                <w:color w:val="000000"/>
                <w:sz w:val="24"/>
                <w:lang w:val="en-US" w:eastAsia="zh-CN"/>
              </w:rPr>
              <w:t>名   称</w:t>
            </w:r>
          </w:p>
        </w:tc>
        <w:tc>
          <w:tcPr>
            <w:tcW w:w="1698"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规格型号</w:t>
            </w:r>
          </w:p>
        </w:tc>
        <w:tc>
          <w:tcPr>
            <w:tcW w:w="763"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数量（台）</w:t>
            </w:r>
          </w:p>
        </w:tc>
        <w:tc>
          <w:tcPr>
            <w:tcW w:w="996"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单价（元）</w:t>
            </w:r>
          </w:p>
        </w:tc>
        <w:tc>
          <w:tcPr>
            <w:tcW w:w="1036" w:type="dxa"/>
            <w:vAlign w:val="center"/>
          </w:tcPr>
          <w:p>
            <w:pPr>
              <w:spacing w:before="120" w:beforeLines="50"/>
              <w:jc w:val="center"/>
              <w:rPr>
                <w:rFonts w:hint="default" w:ascii="宋体" w:hAnsi="宋体" w:eastAsia="宋体" w:cs="Arial"/>
                <w:color w:val="000000"/>
                <w:sz w:val="24"/>
                <w:lang w:val="en-US" w:eastAsia="zh-CN"/>
              </w:rPr>
            </w:pPr>
            <w:r>
              <w:rPr>
                <w:rFonts w:hint="eastAsia" w:ascii="宋体" w:hAnsi="宋体" w:cs="Arial"/>
                <w:color w:val="000000"/>
                <w:sz w:val="24"/>
                <w:lang w:val="en-US" w:eastAsia="zh-CN"/>
              </w:rPr>
              <w:t>合计（元）</w:t>
            </w:r>
          </w:p>
        </w:tc>
        <w:tc>
          <w:tcPr>
            <w:tcW w:w="1896" w:type="dxa"/>
            <w:vAlign w:val="center"/>
          </w:tcPr>
          <w:p>
            <w:pPr>
              <w:spacing w:before="120" w:beforeLines="50"/>
              <w:jc w:val="center"/>
              <w:rPr>
                <w:rFonts w:hint="default" w:ascii="宋体" w:hAnsi="宋体" w:cs="Arial"/>
                <w:color w:val="000000"/>
                <w:sz w:val="24"/>
                <w:lang w:val="en-US" w:eastAsia="zh-CN"/>
              </w:rPr>
            </w:pPr>
            <w:r>
              <w:rPr>
                <w:rFonts w:hint="eastAsia" w:ascii="宋体" w:hAnsi="宋体" w:cs="Arial"/>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5" w:type="dxa"/>
            <w:vAlign w:val="top"/>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1</w:t>
            </w:r>
          </w:p>
        </w:tc>
        <w:tc>
          <w:tcPr>
            <w:tcW w:w="2468" w:type="dxa"/>
            <w:vAlign w:val="bottom"/>
          </w:tcPr>
          <w:p>
            <w:pPr>
              <w:adjustRightInd w:val="0"/>
              <w:snapToGrid w:val="0"/>
              <w:spacing w:line="360" w:lineRule="auto"/>
              <w:jc w:val="center"/>
              <w:rPr>
                <w:sz w:val="24"/>
                <w:szCs w:val="24"/>
              </w:rPr>
            </w:pPr>
            <w:r>
              <w:rPr>
                <w:rFonts w:hint="eastAsia"/>
                <w:sz w:val="24"/>
                <w:szCs w:val="24"/>
                <w:lang w:val="en-US" w:eastAsia="zh-CN"/>
              </w:rPr>
              <w:t>平面回旋筛</w:t>
            </w:r>
          </w:p>
        </w:tc>
        <w:tc>
          <w:tcPr>
            <w:tcW w:w="1698" w:type="dxa"/>
            <w:vAlign w:val="top"/>
          </w:tcPr>
          <w:p>
            <w:pPr>
              <w:spacing w:before="120" w:beforeLines="5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1530-3S</w:t>
            </w:r>
          </w:p>
        </w:tc>
        <w:tc>
          <w:tcPr>
            <w:tcW w:w="763" w:type="dxa"/>
            <w:vAlign w:val="top"/>
          </w:tcPr>
          <w:p>
            <w:pPr>
              <w:widowControl/>
              <w:spacing w:before="120" w:beforeLines="50"/>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996" w:type="dxa"/>
            <w:vAlign w:val="center"/>
          </w:tcPr>
          <w:p>
            <w:pPr>
              <w:pStyle w:val="14"/>
              <w:snapToGrid w:val="0"/>
              <w:spacing w:before="120" w:beforeLines="50" w:beforeAutospacing="0" w:after="0" w:afterAutospacing="0"/>
              <w:jc w:val="both"/>
              <w:rPr>
                <w:rFonts w:ascii="宋体" w:hAnsi="宋体"/>
                <w:color w:val="000000"/>
                <w:sz w:val="24"/>
                <w:szCs w:val="24"/>
              </w:rPr>
            </w:pPr>
          </w:p>
        </w:tc>
        <w:tc>
          <w:tcPr>
            <w:tcW w:w="1036" w:type="dxa"/>
            <w:vAlign w:val="center"/>
          </w:tcPr>
          <w:p>
            <w:pPr>
              <w:pStyle w:val="14"/>
              <w:snapToGrid w:val="0"/>
              <w:spacing w:before="120" w:beforeLines="50" w:beforeAutospacing="0" w:after="0" w:afterAutospacing="0"/>
              <w:jc w:val="both"/>
              <w:rPr>
                <w:rFonts w:ascii="宋体" w:hAnsi="宋体"/>
                <w:color w:val="000000"/>
                <w:sz w:val="24"/>
                <w:szCs w:val="24"/>
              </w:rPr>
            </w:pPr>
          </w:p>
        </w:tc>
        <w:tc>
          <w:tcPr>
            <w:tcW w:w="1896" w:type="dxa"/>
            <w:vAlign w:val="center"/>
          </w:tcPr>
          <w:p>
            <w:pPr>
              <w:pStyle w:val="14"/>
              <w:snapToGrid w:val="0"/>
              <w:spacing w:before="120" w:beforeLines="50" w:beforeAutospacing="0" w:after="0" w:afterAutospacing="0"/>
              <w:jc w:val="both"/>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5" w:type="dxa"/>
            <w:vAlign w:val="top"/>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2</w:t>
            </w:r>
          </w:p>
        </w:tc>
        <w:tc>
          <w:tcPr>
            <w:tcW w:w="2468" w:type="dxa"/>
            <w:vAlign w:val="bottom"/>
          </w:tcPr>
          <w:p>
            <w:pPr>
              <w:adjustRightInd w:val="0"/>
              <w:snapToGrid w:val="0"/>
              <w:spacing w:line="360" w:lineRule="auto"/>
              <w:jc w:val="center"/>
              <w:rPr>
                <w:sz w:val="24"/>
                <w:szCs w:val="24"/>
              </w:rPr>
            </w:pPr>
            <w:r>
              <w:rPr>
                <w:rFonts w:hint="eastAsia"/>
                <w:sz w:val="24"/>
                <w:szCs w:val="24"/>
                <w:lang w:val="en-US" w:eastAsia="zh-CN"/>
              </w:rPr>
              <w:t>平面回旋筛</w:t>
            </w:r>
          </w:p>
        </w:tc>
        <w:tc>
          <w:tcPr>
            <w:tcW w:w="1698" w:type="dxa"/>
            <w:vAlign w:val="top"/>
          </w:tcPr>
          <w:p>
            <w:pPr>
              <w:spacing w:before="120" w:beforeLines="5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1530-2S</w:t>
            </w:r>
          </w:p>
        </w:tc>
        <w:tc>
          <w:tcPr>
            <w:tcW w:w="763" w:type="dxa"/>
            <w:vAlign w:val="top"/>
          </w:tcPr>
          <w:p>
            <w:pPr>
              <w:widowControl/>
              <w:spacing w:before="120" w:beforeLines="50"/>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996" w:type="dxa"/>
            <w:vAlign w:val="center"/>
          </w:tcPr>
          <w:p>
            <w:pPr>
              <w:pStyle w:val="14"/>
              <w:snapToGrid w:val="0"/>
              <w:spacing w:before="120" w:beforeLines="50" w:beforeAutospacing="0" w:after="0" w:afterAutospacing="0"/>
              <w:jc w:val="both"/>
              <w:rPr>
                <w:rFonts w:ascii="宋体" w:hAnsi="宋体"/>
                <w:color w:val="000000"/>
                <w:sz w:val="24"/>
                <w:szCs w:val="24"/>
              </w:rPr>
            </w:pPr>
          </w:p>
        </w:tc>
        <w:tc>
          <w:tcPr>
            <w:tcW w:w="1036" w:type="dxa"/>
            <w:vAlign w:val="center"/>
          </w:tcPr>
          <w:p>
            <w:pPr>
              <w:pStyle w:val="14"/>
              <w:snapToGrid w:val="0"/>
              <w:spacing w:before="120" w:beforeLines="50" w:beforeAutospacing="0" w:after="0" w:afterAutospacing="0"/>
              <w:jc w:val="both"/>
              <w:rPr>
                <w:rFonts w:ascii="宋体" w:hAnsi="宋体"/>
                <w:color w:val="000000"/>
                <w:sz w:val="24"/>
                <w:szCs w:val="24"/>
              </w:rPr>
            </w:pPr>
          </w:p>
        </w:tc>
        <w:tc>
          <w:tcPr>
            <w:tcW w:w="1896" w:type="dxa"/>
            <w:vAlign w:val="center"/>
          </w:tcPr>
          <w:p>
            <w:pPr>
              <w:pStyle w:val="14"/>
              <w:snapToGrid w:val="0"/>
              <w:spacing w:before="120" w:beforeLines="50" w:beforeAutospacing="0" w:after="0" w:afterAutospacing="0"/>
              <w:jc w:val="both"/>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25" w:type="dxa"/>
            <w:vAlign w:val="top"/>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3</w:t>
            </w:r>
          </w:p>
        </w:tc>
        <w:tc>
          <w:tcPr>
            <w:tcW w:w="2468" w:type="dxa"/>
            <w:vAlign w:val="bottom"/>
          </w:tcPr>
          <w:p>
            <w:pPr>
              <w:adjustRightInd w:val="0"/>
              <w:snapToGrid w:val="0"/>
              <w:spacing w:line="360" w:lineRule="auto"/>
              <w:jc w:val="center"/>
              <w:rPr>
                <w:rFonts w:hint="default" w:eastAsia="宋体"/>
                <w:sz w:val="24"/>
                <w:szCs w:val="24"/>
                <w:lang w:val="en-US" w:eastAsia="zh-CN"/>
              </w:rPr>
            </w:pPr>
            <w:r>
              <w:rPr>
                <w:rFonts w:hint="eastAsia"/>
                <w:sz w:val="24"/>
                <w:szCs w:val="24"/>
                <w:lang w:val="en-US" w:eastAsia="zh-CN"/>
              </w:rPr>
              <w:t>操作平台</w:t>
            </w:r>
          </w:p>
        </w:tc>
        <w:tc>
          <w:tcPr>
            <w:tcW w:w="1698" w:type="dxa"/>
            <w:vAlign w:val="top"/>
          </w:tcPr>
          <w:p>
            <w:pPr>
              <w:spacing w:before="120" w:beforeLines="5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w:t>
            </w:r>
          </w:p>
        </w:tc>
        <w:tc>
          <w:tcPr>
            <w:tcW w:w="763" w:type="dxa"/>
            <w:vAlign w:val="top"/>
          </w:tcPr>
          <w:p>
            <w:pPr>
              <w:widowControl/>
              <w:spacing w:before="120" w:beforeLines="50"/>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996" w:type="dxa"/>
            <w:vAlign w:val="center"/>
          </w:tcPr>
          <w:p>
            <w:pPr>
              <w:pStyle w:val="14"/>
              <w:snapToGrid w:val="0"/>
              <w:spacing w:before="120" w:beforeLines="50" w:beforeAutospacing="0" w:after="0" w:afterAutospacing="0"/>
              <w:jc w:val="both"/>
              <w:rPr>
                <w:rFonts w:ascii="宋体" w:hAnsi="宋体"/>
                <w:color w:val="000000"/>
                <w:sz w:val="24"/>
                <w:szCs w:val="24"/>
              </w:rPr>
            </w:pPr>
          </w:p>
        </w:tc>
        <w:tc>
          <w:tcPr>
            <w:tcW w:w="1036" w:type="dxa"/>
            <w:vAlign w:val="center"/>
          </w:tcPr>
          <w:p>
            <w:pPr>
              <w:pStyle w:val="14"/>
              <w:snapToGrid w:val="0"/>
              <w:spacing w:before="120" w:beforeLines="50" w:beforeAutospacing="0" w:after="0" w:afterAutospacing="0"/>
              <w:jc w:val="both"/>
              <w:rPr>
                <w:rFonts w:ascii="宋体" w:hAnsi="宋体"/>
                <w:color w:val="000000"/>
                <w:sz w:val="24"/>
                <w:szCs w:val="24"/>
              </w:rPr>
            </w:pPr>
          </w:p>
        </w:tc>
        <w:tc>
          <w:tcPr>
            <w:tcW w:w="1896" w:type="dxa"/>
            <w:vAlign w:val="center"/>
          </w:tcPr>
          <w:p>
            <w:pPr>
              <w:pStyle w:val="14"/>
              <w:snapToGrid w:val="0"/>
              <w:spacing w:before="120" w:beforeLines="50" w:beforeAutospacing="0" w:after="0" w:afterAutospacing="0"/>
              <w:jc w:val="both"/>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425" w:type="dxa"/>
            <w:vAlign w:val="top"/>
          </w:tcPr>
          <w:p>
            <w:pPr>
              <w:pStyle w:val="14"/>
              <w:snapToGrid w:val="0"/>
              <w:spacing w:before="120" w:beforeLines="50" w:beforeAutospacing="0" w:after="0" w:afterAutospacing="0"/>
              <w:jc w:val="center"/>
              <w:rPr>
                <w:rFonts w:ascii="宋体" w:hAnsi="宋体"/>
                <w:color w:val="000000"/>
                <w:highlight w:val="none"/>
              </w:rPr>
            </w:pPr>
            <w:r>
              <w:rPr>
                <w:rFonts w:hint="eastAsia" w:ascii="宋体" w:hAnsi="宋体"/>
                <w:color w:val="000000"/>
                <w:highlight w:val="none"/>
              </w:rPr>
              <w:t>4</w:t>
            </w:r>
          </w:p>
        </w:tc>
        <w:tc>
          <w:tcPr>
            <w:tcW w:w="2468" w:type="dxa"/>
            <w:vAlign w:val="top"/>
          </w:tcPr>
          <w:p>
            <w:pPr>
              <w:widowControl/>
              <w:spacing w:before="120" w:beforeLines="50"/>
              <w:jc w:val="center"/>
              <w:rPr>
                <w:rFonts w:hint="default" w:ascii="宋体" w:hAnsi="宋体" w:eastAsia="宋体" w:cs="宋体"/>
                <w:b/>
                <w:color w:val="000000"/>
                <w:kern w:val="0"/>
                <w:sz w:val="24"/>
                <w:szCs w:val="24"/>
                <w:lang w:val="en-US" w:eastAsia="zh-CN" w:bidi="ar-SA"/>
              </w:rPr>
            </w:pPr>
            <w:r>
              <w:rPr>
                <w:rFonts w:hint="eastAsia" w:ascii="宋体" w:hAnsi="宋体" w:cs="宋体"/>
                <w:color w:val="000000"/>
                <w:kern w:val="0"/>
                <w:sz w:val="24"/>
                <w:szCs w:val="24"/>
                <w:lang w:val="en-US" w:eastAsia="zh-CN"/>
              </w:rPr>
              <w:t>板链斗式提升机</w:t>
            </w:r>
          </w:p>
        </w:tc>
        <w:tc>
          <w:tcPr>
            <w:tcW w:w="1698" w:type="dxa"/>
            <w:vAlign w:val="top"/>
          </w:tcPr>
          <w:p>
            <w:pPr>
              <w:spacing w:before="120" w:beforeLines="50"/>
              <w:jc w:val="both"/>
              <w:rPr>
                <w:rFonts w:hint="eastAsia" w:ascii="宋体" w:hAnsi="宋体" w:eastAsia="宋体" w:cs="Times New Roman"/>
                <w:color w:val="000000"/>
                <w:kern w:val="2"/>
                <w:sz w:val="24"/>
                <w:szCs w:val="24"/>
                <w:lang w:val="en-US" w:eastAsia="zh-CN" w:bidi="ar-SA"/>
              </w:rPr>
            </w:pPr>
            <w:r>
              <w:rPr>
                <w:rFonts w:hint="eastAsia" w:ascii="宋体" w:hAnsi="宋体"/>
                <w:color w:val="000000"/>
                <w:sz w:val="21"/>
                <w:szCs w:val="21"/>
                <w:lang w:val="en-US" w:eastAsia="zh-CN"/>
              </w:rPr>
              <w:t>NE15 H=11000mm</w:t>
            </w:r>
          </w:p>
        </w:tc>
        <w:tc>
          <w:tcPr>
            <w:tcW w:w="763" w:type="dxa"/>
            <w:vAlign w:val="top"/>
          </w:tcPr>
          <w:p>
            <w:pPr>
              <w:widowControl/>
              <w:spacing w:before="120" w:beforeLines="50"/>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996" w:type="dxa"/>
            <w:vAlign w:val="center"/>
          </w:tcPr>
          <w:p>
            <w:pPr>
              <w:pStyle w:val="14"/>
              <w:snapToGrid w:val="0"/>
              <w:spacing w:before="120" w:beforeLines="50" w:beforeAutospacing="0" w:after="0" w:afterAutospacing="0"/>
              <w:jc w:val="both"/>
              <w:rPr>
                <w:rFonts w:ascii="宋体" w:hAnsi="宋体" w:eastAsia="宋体" w:cs="Times New Roman"/>
                <w:color w:val="000000"/>
                <w:kern w:val="0"/>
                <w:sz w:val="24"/>
                <w:szCs w:val="24"/>
                <w:lang w:val="en-US" w:eastAsia="zh-CN" w:bidi="ar-SA"/>
              </w:rPr>
            </w:pPr>
          </w:p>
        </w:tc>
        <w:tc>
          <w:tcPr>
            <w:tcW w:w="1036" w:type="dxa"/>
            <w:vAlign w:val="center"/>
          </w:tcPr>
          <w:p>
            <w:pPr>
              <w:pStyle w:val="14"/>
              <w:snapToGrid w:val="0"/>
              <w:spacing w:before="120" w:beforeLines="50" w:beforeAutospacing="0" w:after="0" w:afterAutospacing="0"/>
              <w:jc w:val="both"/>
              <w:rPr>
                <w:rFonts w:ascii="宋体" w:hAnsi="宋体" w:eastAsia="宋体" w:cs="Times New Roman"/>
                <w:color w:val="000000"/>
                <w:kern w:val="0"/>
                <w:sz w:val="24"/>
                <w:szCs w:val="24"/>
                <w:lang w:val="en-US" w:eastAsia="zh-CN" w:bidi="ar-SA"/>
              </w:rPr>
            </w:pPr>
          </w:p>
        </w:tc>
        <w:tc>
          <w:tcPr>
            <w:tcW w:w="1896" w:type="dxa"/>
            <w:vAlign w:val="center"/>
          </w:tcPr>
          <w:p>
            <w:pPr>
              <w:pStyle w:val="14"/>
              <w:snapToGrid w:val="0"/>
              <w:spacing w:before="120" w:beforeLines="50" w:beforeAutospacing="0" w:after="0" w:afterAutospacing="0"/>
              <w:jc w:val="both"/>
              <w:rPr>
                <w:rFonts w:hint="default" w:ascii="宋体" w:hAnsi="宋体" w:eastAsia="宋体" w:cs="Times New Roman"/>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25" w:type="dxa"/>
            <w:vAlign w:val="top"/>
          </w:tcPr>
          <w:p>
            <w:pPr>
              <w:pStyle w:val="14"/>
              <w:snapToGrid w:val="0"/>
              <w:spacing w:before="120" w:beforeLines="50" w:beforeAutospacing="0" w:after="0" w:afterAutospacing="0"/>
              <w:jc w:val="center"/>
              <w:rPr>
                <w:rFonts w:ascii="宋体" w:hAnsi="宋体"/>
                <w:color w:val="000000"/>
              </w:rPr>
            </w:pPr>
            <w:r>
              <w:rPr>
                <w:rFonts w:hint="eastAsia" w:ascii="宋体" w:hAnsi="宋体"/>
                <w:color w:val="000000"/>
              </w:rPr>
              <w:t>5</w:t>
            </w:r>
          </w:p>
        </w:tc>
        <w:tc>
          <w:tcPr>
            <w:tcW w:w="2468" w:type="dxa"/>
            <w:vAlign w:val="top"/>
          </w:tcPr>
          <w:p>
            <w:pPr>
              <w:widowControl/>
              <w:spacing w:before="120" w:beforeLines="50"/>
              <w:jc w:val="center"/>
              <w:rPr>
                <w:rFonts w:hint="default" w:ascii="宋体" w:hAnsi="宋体" w:eastAsia="宋体" w:cs="宋体"/>
                <w:color w:val="000000"/>
                <w:kern w:val="0"/>
                <w:sz w:val="24"/>
                <w:szCs w:val="24"/>
                <w:lang w:val="en-US" w:eastAsia="zh-CN" w:bidi="ar-SA"/>
              </w:rPr>
            </w:pPr>
            <w:r>
              <w:rPr>
                <w:rFonts w:hint="eastAsia" w:ascii="宋体" w:hAnsi="宋体" w:cs="宋体"/>
                <w:b w:val="0"/>
                <w:bCs/>
                <w:color w:val="000000"/>
                <w:kern w:val="0"/>
                <w:sz w:val="24"/>
                <w:szCs w:val="24"/>
                <w:lang w:val="en-US" w:eastAsia="zh-CN"/>
              </w:rPr>
              <w:t>就地控制箱（含电缆）</w:t>
            </w:r>
          </w:p>
        </w:tc>
        <w:tc>
          <w:tcPr>
            <w:tcW w:w="1698" w:type="dxa"/>
            <w:vAlign w:val="top"/>
          </w:tcPr>
          <w:p>
            <w:pPr>
              <w:spacing w:before="120" w:beforeLines="50"/>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w:t>
            </w:r>
          </w:p>
        </w:tc>
        <w:tc>
          <w:tcPr>
            <w:tcW w:w="763" w:type="dxa"/>
            <w:vAlign w:val="top"/>
          </w:tcPr>
          <w:p>
            <w:pPr>
              <w:widowControl/>
              <w:spacing w:before="120" w:beforeLines="50"/>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3</w:t>
            </w:r>
          </w:p>
        </w:tc>
        <w:tc>
          <w:tcPr>
            <w:tcW w:w="996" w:type="dxa"/>
            <w:vAlign w:val="center"/>
          </w:tcPr>
          <w:p>
            <w:pPr>
              <w:pStyle w:val="14"/>
              <w:snapToGrid w:val="0"/>
              <w:spacing w:before="120" w:beforeLines="50" w:beforeAutospacing="0" w:after="0" w:afterAutospacing="0"/>
              <w:jc w:val="both"/>
              <w:rPr>
                <w:rFonts w:ascii="宋体" w:hAnsi="宋体" w:eastAsia="宋体" w:cs="Times New Roman"/>
                <w:color w:val="000000"/>
                <w:kern w:val="0"/>
                <w:sz w:val="24"/>
                <w:szCs w:val="24"/>
                <w:lang w:val="en-US" w:eastAsia="zh-CN" w:bidi="ar-SA"/>
              </w:rPr>
            </w:pPr>
          </w:p>
        </w:tc>
        <w:tc>
          <w:tcPr>
            <w:tcW w:w="1036" w:type="dxa"/>
            <w:vAlign w:val="center"/>
          </w:tcPr>
          <w:p>
            <w:pPr>
              <w:pStyle w:val="14"/>
              <w:snapToGrid w:val="0"/>
              <w:spacing w:before="120" w:beforeLines="50" w:beforeAutospacing="0" w:after="0" w:afterAutospacing="0"/>
              <w:jc w:val="both"/>
              <w:rPr>
                <w:rFonts w:ascii="宋体" w:hAnsi="宋体" w:eastAsia="宋体" w:cs="Times New Roman"/>
                <w:color w:val="000000"/>
                <w:kern w:val="0"/>
                <w:sz w:val="24"/>
                <w:szCs w:val="24"/>
                <w:lang w:val="en-US" w:eastAsia="zh-CN" w:bidi="ar-SA"/>
              </w:rPr>
            </w:pPr>
          </w:p>
        </w:tc>
        <w:tc>
          <w:tcPr>
            <w:tcW w:w="1896" w:type="dxa"/>
            <w:vAlign w:val="center"/>
          </w:tcPr>
          <w:p>
            <w:pPr>
              <w:pStyle w:val="14"/>
              <w:snapToGrid w:val="0"/>
              <w:spacing w:before="120" w:beforeLines="50" w:beforeAutospacing="0" w:after="0" w:afterAutospacing="0"/>
              <w:jc w:val="both"/>
              <w:rPr>
                <w:rFonts w:ascii="宋体" w:hAnsi="宋体" w:eastAsia="宋体" w:cs="Times New Roman"/>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25" w:type="dxa"/>
            <w:vAlign w:val="center"/>
          </w:tcPr>
          <w:p>
            <w:pPr>
              <w:pStyle w:val="14"/>
              <w:snapToGrid w:val="0"/>
              <w:spacing w:before="120" w:beforeLines="50" w:beforeAutospacing="0" w:after="0" w:afterAutospacing="0"/>
              <w:jc w:val="center"/>
              <w:rPr>
                <w:rFonts w:ascii="宋体" w:hAnsi="宋体"/>
                <w:color w:val="000000"/>
              </w:rPr>
            </w:pPr>
          </w:p>
        </w:tc>
        <w:tc>
          <w:tcPr>
            <w:tcW w:w="2468" w:type="dxa"/>
            <w:vAlign w:val="center"/>
          </w:tcPr>
          <w:p>
            <w:pPr>
              <w:widowControl/>
              <w:spacing w:before="120" w:beforeLines="50"/>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总</w:t>
            </w:r>
            <w:r>
              <w:rPr>
                <w:rFonts w:hint="eastAsia" w:ascii="宋体" w:hAnsi="宋体" w:cs="宋体"/>
                <w:color w:val="000000"/>
                <w:kern w:val="0"/>
                <w:sz w:val="24"/>
              </w:rPr>
              <w:t>计</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元）</w:t>
            </w:r>
          </w:p>
        </w:tc>
        <w:tc>
          <w:tcPr>
            <w:tcW w:w="4493" w:type="dxa"/>
            <w:gridSpan w:val="4"/>
            <w:vAlign w:val="center"/>
          </w:tcPr>
          <w:p>
            <w:pPr>
              <w:pStyle w:val="14"/>
              <w:snapToGrid w:val="0"/>
              <w:spacing w:before="120" w:beforeLines="50" w:beforeAutospacing="0" w:after="0" w:afterAutospacing="0"/>
              <w:jc w:val="center"/>
              <w:rPr>
                <w:rFonts w:ascii="宋体" w:hAnsi="宋体"/>
                <w:color w:val="000000"/>
              </w:rPr>
            </w:pPr>
          </w:p>
        </w:tc>
        <w:tc>
          <w:tcPr>
            <w:tcW w:w="1896" w:type="dxa"/>
            <w:vAlign w:val="center"/>
          </w:tcPr>
          <w:p>
            <w:pPr>
              <w:pStyle w:val="14"/>
              <w:snapToGrid w:val="0"/>
              <w:spacing w:before="120" w:beforeLines="50" w:beforeAutospacing="0" w:after="0" w:afterAutospacing="0"/>
              <w:jc w:val="center"/>
              <w:rPr>
                <w:rFonts w:ascii="宋体" w:hAnsi="宋体"/>
                <w:color w:val="000000"/>
              </w:rPr>
            </w:pPr>
          </w:p>
        </w:tc>
      </w:tr>
    </w:tbl>
    <w:p>
      <w:pPr>
        <w:rPr>
          <w:rFonts w:ascii="仿宋_GB2312" w:eastAsia="仿宋_GB2312"/>
          <w:sz w:val="32"/>
          <w:szCs w:val="32"/>
        </w:rPr>
      </w:pPr>
      <w:r>
        <w:rPr>
          <w:rFonts w:hint="eastAsia" w:ascii="新宋体" w:eastAsia="新宋体"/>
          <w:b/>
          <w:w w:val="95"/>
          <w:sz w:val="24"/>
        </w:rPr>
        <w:t>说明：此费用包括</w:t>
      </w:r>
      <w:r>
        <w:rPr>
          <w:rFonts w:hint="eastAsia" w:ascii="新宋体" w:eastAsia="新宋体"/>
          <w:b/>
          <w:w w:val="95"/>
          <w:sz w:val="24"/>
          <w:lang w:val="en-US" w:eastAsia="zh-CN"/>
        </w:rPr>
        <w:t>与之相关的操作平台、就地控制箱及电气电缆等，并</w:t>
      </w:r>
      <w:r>
        <w:rPr>
          <w:rFonts w:hint="eastAsia" w:ascii="新宋体" w:eastAsia="新宋体"/>
          <w:b/>
          <w:w w:val="95"/>
          <w:sz w:val="24"/>
        </w:rPr>
        <w:t>将货物运到买方指定位置</w:t>
      </w:r>
      <w:r>
        <w:rPr>
          <w:rFonts w:hint="eastAsia" w:ascii="新宋体" w:eastAsia="新宋体"/>
          <w:b/>
          <w:w w:val="95"/>
          <w:sz w:val="24"/>
          <w:lang w:val="en-US" w:eastAsia="zh-CN"/>
        </w:rPr>
        <w:t>进行</w:t>
      </w:r>
      <w:r>
        <w:rPr>
          <w:rFonts w:hint="eastAsia" w:ascii="新宋体" w:eastAsia="新宋体"/>
          <w:b/>
          <w:w w:val="95"/>
          <w:sz w:val="24"/>
        </w:rPr>
        <w:t>安装</w:t>
      </w:r>
      <w:r>
        <w:rPr>
          <w:rFonts w:hint="eastAsia" w:ascii="新宋体" w:eastAsia="新宋体"/>
          <w:b/>
          <w:w w:val="95"/>
          <w:sz w:val="24"/>
          <w:lang w:eastAsia="zh-CN"/>
        </w:rPr>
        <w:t>、</w:t>
      </w:r>
      <w:r>
        <w:rPr>
          <w:rFonts w:hint="eastAsia" w:ascii="新宋体" w:eastAsia="新宋体"/>
          <w:b/>
          <w:w w:val="95"/>
          <w:sz w:val="24"/>
        </w:rPr>
        <w:t>调试</w:t>
      </w:r>
      <w:r>
        <w:rPr>
          <w:rFonts w:hint="eastAsia" w:ascii="新宋体" w:eastAsia="新宋体"/>
          <w:b/>
          <w:w w:val="95"/>
          <w:sz w:val="24"/>
          <w:lang w:eastAsia="zh-CN"/>
        </w:rPr>
        <w:t>、</w:t>
      </w:r>
      <w:r>
        <w:rPr>
          <w:rFonts w:hint="eastAsia" w:ascii="新宋体" w:eastAsia="新宋体"/>
          <w:b/>
          <w:w w:val="95"/>
          <w:sz w:val="24"/>
        </w:rPr>
        <w:t>验收</w:t>
      </w:r>
      <w:r>
        <w:rPr>
          <w:rFonts w:hint="eastAsia" w:ascii="新宋体" w:eastAsia="新宋体"/>
          <w:b/>
          <w:w w:val="95"/>
          <w:sz w:val="24"/>
          <w:lang w:val="en-US" w:eastAsia="zh-CN"/>
        </w:rPr>
        <w:t>和培训</w:t>
      </w:r>
      <w:r>
        <w:rPr>
          <w:rFonts w:hint="eastAsia" w:ascii="新宋体" w:eastAsia="新宋体"/>
          <w:b/>
          <w:w w:val="95"/>
          <w:sz w:val="24"/>
        </w:rPr>
        <w:t>等所有费用</w:t>
      </w:r>
      <w:r>
        <w:rPr>
          <w:rFonts w:hint="eastAsia" w:ascii="新宋体" w:eastAsia="新宋体"/>
          <w:b/>
          <w:spacing w:val="-19"/>
          <w:w w:val="95"/>
          <w:sz w:val="24"/>
        </w:rPr>
        <w:t>。</w:t>
      </w: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20" w:beforeLines="50" w:after="120" w:afterLines="50" w:line="300" w:lineRule="exact"/>
        <w:rPr>
          <w:rFonts w:ascii="宋体" w:hAnsi="Arial" w:cs="Arial"/>
          <w:sz w:val="24"/>
        </w:rPr>
      </w:pPr>
    </w:p>
    <w:p>
      <w:pPr>
        <w:spacing w:before="480" w:beforeLines="200" w:after="120"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hint="eastAsia" w:ascii="Microsoft JhengHei" w:eastAsiaTheme="minorEastAsia"/>
          <w:b/>
          <w:sz w:val="44"/>
          <w:szCs w:val="44"/>
        </w:rPr>
      </w:pPr>
      <w:r>
        <w:rPr>
          <w:rFonts w:hint="eastAsia" w:ascii="宋体" w:hAnsi="Arial" w:cs="Arial"/>
          <w:sz w:val="28"/>
          <w:szCs w:val="28"/>
        </w:rPr>
        <w:t>年   月   日</w:t>
      </w: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8"/>
        <w:tabs>
          <w:tab w:val="left" w:pos="2880"/>
        </w:tabs>
        <w:rPr>
          <w:rFonts w:ascii="Microsoft JhengHei"/>
          <w:b/>
          <w:sz w:val="20"/>
        </w:rPr>
      </w:pPr>
      <w:r>
        <w:rPr>
          <w:rFonts w:ascii="Microsoft JhengHei"/>
          <w:b/>
          <w:sz w:val="20"/>
        </w:rPr>
        <w:tab/>
      </w:r>
    </w:p>
    <w:p>
      <w:pPr>
        <w:pStyle w:val="8"/>
        <w:spacing w:before="17"/>
        <w:rPr>
          <w:rFonts w:ascii="Microsoft JhengHei"/>
          <w:b/>
          <w:sz w:val="18"/>
        </w:rPr>
      </w:pPr>
    </w:p>
    <w:p>
      <w:pPr>
        <w:pStyle w:val="8"/>
        <w:spacing w:before="70" w:line="470" w:lineRule="auto"/>
        <w:ind w:right="-2"/>
        <w:rPr>
          <w:u w:val="single"/>
        </w:rPr>
      </w:pPr>
      <w:r>
        <w:t>投标人名称：</w:t>
      </w:r>
      <w:r>
        <w:rPr>
          <w:rFonts w:hint="eastAsia"/>
          <w:u w:val="single"/>
        </w:rPr>
        <w:t xml:space="preserve">                                   </w:t>
      </w:r>
    </w:p>
    <w:p>
      <w:pPr>
        <w:pStyle w:val="8"/>
        <w:spacing w:before="70" w:line="470" w:lineRule="auto"/>
        <w:ind w:right="-2"/>
        <w:rPr>
          <w:u w:val="single"/>
        </w:rPr>
      </w:pPr>
      <w:r>
        <w:t>注册号：</w:t>
      </w:r>
      <w:r>
        <w:rPr>
          <w:rFonts w:hint="eastAsia"/>
          <w:u w:val="single"/>
        </w:rPr>
        <w:t xml:space="preserve">                                       </w:t>
      </w:r>
    </w:p>
    <w:p>
      <w:pPr>
        <w:pStyle w:val="8"/>
        <w:spacing w:before="3"/>
        <w:rPr>
          <w:u w:val="single"/>
        </w:rPr>
      </w:pPr>
      <w:r>
        <w:t>注册地址：</w:t>
      </w:r>
      <w:r>
        <w:rPr>
          <w:rFonts w:hint="eastAsia"/>
        </w:rPr>
        <w:t xml:space="preserve"> </w:t>
      </w:r>
      <w:r>
        <w:rPr>
          <w:rFonts w:hint="eastAsia"/>
          <w:u w:val="single"/>
        </w:rPr>
        <w:t xml:space="preserve">                                    </w:t>
      </w:r>
    </w:p>
    <w:p>
      <w:pPr>
        <w:pStyle w:val="8"/>
        <w:spacing w:before="3"/>
        <w:rPr>
          <w:sz w:val="20"/>
        </w:rPr>
      </w:pPr>
    </w:p>
    <w:p>
      <w:pPr>
        <w:pStyle w:val="8"/>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8"/>
        <w:spacing w:line="470" w:lineRule="auto"/>
        <w:ind w:left="210" w:right="-2" w:hanging="210" w:hangingChars="100"/>
        <w:rPr>
          <w:u w:val="single"/>
        </w:rPr>
      </w:pPr>
      <w:r>
        <w:t>经营期限：</w:t>
      </w:r>
      <w:r>
        <w:rPr>
          <w:rFonts w:hint="eastAsia"/>
          <w:u w:val="single"/>
        </w:rPr>
        <w:t xml:space="preserve">                                     </w:t>
      </w:r>
    </w:p>
    <w:p>
      <w:pPr>
        <w:pStyle w:val="8"/>
        <w:spacing w:before="2"/>
        <w:rPr>
          <w:u w:val="single"/>
        </w:rPr>
      </w:pPr>
      <w:r>
        <w:t>经营范围：</w:t>
      </w:r>
      <w:r>
        <w:rPr>
          <w:rFonts w:hint="eastAsia"/>
          <w:u w:val="single"/>
        </w:rPr>
        <w:t xml:space="preserve">                                    </w:t>
      </w:r>
    </w:p>
    <w:p>
      <w:pPr>
        <w:pStyle w:val="8"/>
        <w:spacing w:line="470" w:lineRule="auto"/>
        <w:ind w:right="4085"/>
      </w:pPr>
    </w:p>
    <w:p>
      <w:pPr>
        <w:adjustRightInd w:val="0"/>
        <w:snapToGrid w:val="0"/>
        <w:spacing w:line="360" w:lineRule="auto"/>
        <w:ind w:right="420"/>
        <w:rPr>
          <w:rFonts w:ascii="宋体" w:hAnsi="宋体"/>
          <w:szCs w:val="21"/>
        </w:rPr>
      </w:pPr>
      <w:r>
        <w:rPr>
          <w:rFonts w:hint="eastAsia" w:ascii="宋体" w:hAnsi="宋体"/>
          <w:szCs w:val="21"/>
        </w:rPr>
        <w:t>姓名：性别：年龄：职务：系（投标人名称）的法定代表人。特此证明。</w:t>
      </w:r>
    </w:p>
    <w:tbl>
      <w:tblPr>
        <w:tblStyle w:val="16"/>
        <w:tblpPr w:leftFromText="180" w:rightFromText="180" w:vertAnchor="text" w:horzAnchor="page" w:tblpX="1551" w:tblpY="8"/>
        <w:tblOverlap w:val="never"/>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8"/>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8"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453"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hint="eastAsia"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hint="eastAsia" w:hAnsi="宋体"/>
          <w:b/>
          <w:sz w:val="44"/>
          <w:szCs w:val="44"/>
        </w:rPr>
      </w:pP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本授权书期限自2019年10月</w:t>
      </w:r>
      <w:r>
        <w:rPr>
          <w:rFonts w:hint="eastAsia" w:ascii="宋体" w:hAnsi="宋体" w:cs="Arial"/>
          <w:sz w:val="24"/>
          <w:u w:val="single"/>
        </w:rPr>
        <w:t xml:space="preserve">    </w:t>
      </w:r>
      <w:r>
        <w:rPr>
          <w:rFonts w:hint="eastAsia" w:ascii="宋体" w:hAnsi="宋体" w:cs="Arial"/>
          <w:sz w:val="24"/>
        </w:rPr>
        <w:t>日起至2019年10月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6"/>
        <w:tblW w:w="879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8"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401"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44"/>
          <w:szCs w:val="44"/>
        </w:rPr>
      </w:pPr>
      <w:r>
        <w:rPr>
          <w:rFonts w:hint="eastAsia" w:hAnsi="宋体"/>
          <w:b/>
          <w:sz w:val="44"/>
          <w:szCs w:val="44"/>
        </w:rPr>
        <w:t>投标人基本情况表</w:t>
      </w:r>
    </w:p>
    <w:tbl>
      <w:tblPr>
        <w:tblStyle w:val="15"/>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44"/>
          <w:szCs w:val="44"/>
        </w:rPr>
        <w:t>单位信用证明</w:t>
      </w:r>
    </w:p>
    <w:p>
      <w:pPr>
        <w:pStyle w:val="8"/>
      </w:pPr>
    </w:p>
    <w:p>
      <w:pPr>
        <w:pStyle w:val="8"/>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8"/>
        <w:spacing w:line="400" w:lineRule="exact"/>
      </w:pPr>
      <w:r>
        <w:rPr>
          <w:rFonts w:hint="eastAsia"/>
        </w:rPr>
        <w:t>1承诺书并加盖公章；</w:t>
      </w:r>
    </w:p>
    <w:p>
      <w:pPr>
        <w:pStyle w:val="8"/>
        <w:spacing w:line="400" w:lineRule="exact"/>
      </w:pPr>
      <w:r>
        <w:rPr>
          <w:rFonts w:hint="eastAsia"/>
        </w:rPr>
        <w:t>2.信用中国网站</w:t>
      </w:r>
      <w:r>
        <w:fldChar w:fldCharType="begin"/>
      </w:r>
      <w:r>
        <w:instrText xml:space="preserve"> HYPERLINK "https://www.creditchina.gov.cn/" </w:instrText>
      </w:r>
      <w:r>
        <w:fldChar w:fldCharType="separate"/>
      </w:r>
      <w:r>
        <w:rPr>
          <w:rStyle w:val="19"/>
        </w:rPr>
        <w:t>https://www.creditchina.gov.cn/</w:t>
      </w:r>
      <w:r>
        <w:rPr>
          <w:rStyle w:val="19"/>
        </w:rPr>
        <w:fldChar w:fldCharType="end"/>
      </w:r>
      <w:r>
        <w:rPr>
          <w:rFonts w:hint="eastAsia"/>
        </w:rPr>
        <w:t>内本单位信用信息内的失信被执行人、重大税收违法案件当事人名单的查询截图。示意如下：</w:t>
      </w:r>
    </w:p>
    <w:p>
      <w:pPr>
        <w:pStyle w:val="8"/>
      </w:pPr>
    </w:p>
    <w:p>
      <w:pPr>
        <w:pStyle w:val="8"/>
      </w:pPr>
    </w:p>
    <w:p>
      <w:pPr>
        <w:pStyle w:val="8"/>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lang w:val="en-US" w:eastAsia="zh-CN"/>
        </w:rPr>
        <w:t>四</w:t>
      </w:r>
      <w:r>
        <w:rPr>
          <w:rFonts w:hint="eastAsia" w:ascii="Microsoft JhengHei" w:eastAsiaTheme="minorEastAsia"/>
          <w:b/>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8"/>
        <w:spacing w:before="12"/>
        <w:ind w:left="5250"/>
        <w:rPr>
          <w:sz w:val="14"/>
        </w:rPr>
      </w:pPr>
    </w:p>
    <w:tbl>
      <w:tblPr>
        <w:tblStyle w:val="15"/>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5"/>
              <w:rPr>
                <w:sz w:val="20"/>
              </w:rPr>
            </w:pPr>
          </w:p>
          <w:p>
            <w:pPr>
              <w:pStyle w:val="25"/>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5"/>
              <w:spacing w:before="7"/>
              <w:rPr>
                <w:sz w:val="17"/>
              </w:rPr>
            </w:pPr>
          </w:p>
          <w:p>
            <w:pPr>
              <w:pStyle w:val="25"/>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tcPr>
          <w:p>
            <w:pPr>
              <w:pStyle w:val="25"/>
              <w:spacing w:before="11"/>
              <w:rPr>
                <w:sz w:val="17"/>
              </w:rPr>
            </w:pPr>
          </w:p>
          <w:p>
            <w:pPr>
              <w:pStyle w:val="25"/>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5"/>
              <w:spacing w:before="8"/>
              <w:rPr>
                <w:sz w:val="17"/>
              </w:rPr>
            </w:pPr>
          </w:p>
          <w:p>
            <w:pPr>
              <w:pStyle w:val="25"/>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5"/>
              <w:spacing w:before="12"/>
              <w:rPr>
                <w:sz w:val="17"/>
              </w:rPr>
            </w:pPr>
          </w:p>
          <w:p>
            <w:pPr>
              <w:pStyle w:val="25"/>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5"/>
              <w:spacing w:before="9"/>
              <w:rPr>
                <w:sz w:val="17"/>
              </w:rPr>
            </w:pPr>
          </w:p>
          <w:p>
            <w:pPr>
              <w:pStyle w:val="25"/>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tcPr>
          <w:p>
            <w:pPr>
              <w:pStyle w:val="25"/>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5"/>
              <w:spacing w:before="12"/>
              <w:rPr>
                <w:sz w:val="17"/>
              </w:rPr>
            </w:pPr>
          </w:p>
          <w:p>
            <w:pPr>
              <w:pStyle w:val="25"/>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tcPr>
          <w:p>
            <w:pPr>
              <w:pStyle w:val="25"/>
              <w:rPr>
                <w:sz w:val="20"/>
              </w:rPr>
            </w:pPr>
          </w:p>
          <w:p>
            <w:pPr>
              <w:pStyle w:val="25"/>
              <w:rPr>
                <w:sz w:val="20"/>
              </w:rPr>
            </w:pPr>
          </w:p>
          <w:p>
            <w:pPr>
              <w:pStyle w:val="25"/>
              <w:rPr>
                <w:sz w:val="20"/>
              </w:rPr>
            </w:pPr>
          </w:p>
          <w:p>
            <w:pPr>
              <w:pStyle w:val="25"/>
              <w:rPr>
                <w:sz w:val="20"/>
              </w:rPr>
            </w:pPr>
          </w:p>
          <w:p>
            <w:pPr>
              <w:pStyle w:val="25"/>
              <w:spacing w:before="12"/>
              <w:rPr>
                <w:sz w:val="16"/>
              </w:rPr>
            </w:pPr>
          </w:p>
          <w:p>
            <w:pPr>
              <w:pStyle w:val="25"/>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5"/>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tcPr>
          <w:p>
            <w:pPr>
              <w:pStyle w:val="25"/>
              <w:spacing w:before="6"/>
              <w:rPr>
                <w:sz w:val="17"/>
              </w:rPr>
            </w:pPr>
          </w:p>
          <w:p>
            <w:pPr>
              <w:pStyle w:val="25"/>
              <w:ind w:left="525" w:right="523"/>
              <w:jc w:val="center"/>
              <w:rPr>
                <w:sz w:val="21"/>
              </w:rPr>
            </w:pPr>
            <w:r>
              <w:rPr>
                <w:sz w:val="21"/>
              </w:rPr>
              <w:t>备注</w:t>
            </w:r>
          </w:p>
        </w:tc>
        <w:tc>
          <w:tcPr>
            <w:tcW w:w="6807" w:type="dxa"/>
            <w:tcBorders>
              <w:top w:val="single" w:color="000000" w:sz="6" w:space="0"/>
              <w:left w:val="single" w:color="000000" w:sz="6" w:space="0"/>
            </w:tcBorders>
          </w:tcPr>
          <w:p>
            <w:pPr>
              <w:pStyle w:val="25"/>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8"/>
        <w:spacing w:before="18"/>
        <w:jc w:val="center"/>
        <w:rPr>
          <w:rFonts w:hint="eastAsia" w:ascii="黑体" w:hAnsi="黑体" w:eastAsia="黑体" w:cs="黑体"/>
          <w:b/>
          <w:sz w:val="44"/>
          <w:szCs w:val="44"/>
        </w:rPr>
      </w:pPr>
      <w:r>
        <w:rPr>
          <w:rFonts w:hint="eastAsia" w:ascii="黑体" w:hAnsi="黑体" w:eastAsia="黑体" w:cs="黑体"/>
          <w:sz w:val="44"/>
          <w:szCs w:val="44"/>
          <w:lang w:val="en-US" w:eastAsia="zh-CN"/>
        </w:rPr>
        <w:t>五</w:t>
      </w:r>
      <w:r>
        <w:rPr>
          <w:rFonts w:hint="eastAsia" w:ascii="黑体" w:hAnsi="黑体" w:eastAsia="黑体" w:cs="黑体"/>
          <w:sz w:val="44"/>
          <w:szCs w:val="44"/>
        </w:rPr>
        <w:t>、服务承诺书</w:t>
      </w:r>
    </w:p>
    <w:p>
      <w:pPr>
        <w:pStyle w:val="8"/>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3"/>
        <w:spacing w:line="360" w:lineRule="auto"/>
        <w:ind w:left="906" w:firstLine="0"/>
        <w:rPr>
          <w:color w:val="000000"/>
          <w:sz w:val="24"/>
        </w:rPr>
      </w:pPr>
      <w:r>
        <w:rPr>
          <w:rFonts w:hint="eastAsia"/>
          <w:color w:val="000000"/>
          <w:sz w:val="24"/>
        </w:rPr>
        <w:t>一、保证中标后不转包；</w:t>
      </w:r>
    </w:p>
    <w:p>
      <w:pPr>
        <w:pStyle w:val="23"/>
        <w:spacing w:line="360" w:lineRule="auto"/>
        <w:ind w:left="906" w:firstLine="0"/>
        <w:rPr>
          <w:color w:val="000000"/>
          <w:sz w:val="24"/>
        </w:rPr>
      </w:pPr>
      <w:r>
        <w:rPr>
          <w:rFonts w:hint="eastAsia"/>
          <w:color w:val="000000"/>
          <w:sz w:val="24"/>
        </w:rPr>
        <w:t>二、保证中标后，按照招标文件要求提供合格产品，严把质量关；</w:t>
      </w:r>
    </w:p>
    <w:p>
      <w:pPr>
        <w:pStyle w:val="23"/>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3"/>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spacing w:before="480" w:beforeLines="200" w:after="120" w:afterLines="50" w:line="260" w:lineRule="exact"/>
        <w:rPr>
          <w:rFonts w:ascii="宋体" w:hAnsi="Arial" w:cs="Arial"/>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rPr>
          <w:rFonts w:ascii="仿宋_GB2312" w:hAnsi="宋体" w:eastAsia="仿宋_GB2312"/>
          <w:szCs w:val="21"/>
          <w:lang w:val="en-US" w:eastAsia="zh-CN"/>
        </w:rPr>
      </w:pPr>
    </w:p>
    <w:p>
      <w:pPr>
        <w:spacing w:line="400" w:lineRule="atLeast"/>
        <w:jc w:val="center"/>
        <w:rPr>
          <w:rFonts w:hint="eastAsia" w:ascii="黑体" w:hAnsi="黑体" w:eastAsia="黑体" w:cs="黑体"/>
          <w:bCs/>
          <w:color w:val="000000"/>
          <w:sz w:val="44"/>
          <w:szCs w:val="44"/>
        </w:rPr>
      </w:pPr>
      <w:r>
        <w:rPr>
          <w:rFonts w:hint="eastAsia" w:ascii="黑体" w:hAnsi="黑体" w:eastAsia="黑体" w:cs="黑体"/>
          <w:bCs/>
          <w:color w:val="000000"/>
          <w:sz w:val="44"/>
          <w:szCs w:val="44"/>
          <w:lang w:val="en-US" w:eastAsia="zh-CN"/>
        </w:rPr>
        <w:t>六</w:t>
      </w:r>
      <w:r>
        <w:rPr>
          <w:rFonts w:hint="eastAsia" w:ascii="黑体" w:hAnsi="黑体" w:eastAsia="黑体" w:cs="黑体"/>
          <w:bCs/>
          <w:color w:val="000000"/>
          <w:sz w:val="44"/>
          <w:szCs w:val="44"/>
        </w:rPr>
        <w:t xml:space="preserve">  技术</w:t>
      </w:r>
      <w:r>
        <w:rPr>
          <w:rFonts w:hint="eastAsia" w:ascii="黑体" w:hAnsi="黑体" w:eastAsia="黑体" w:cs="黑体"/>
          <w:bCs/>
          <w:color w:val="000000"/>
          <w:sz w:val="44"/>
          <w:szCs w:val="44"/>
          <w:lang w:val="en-US" w:eastAsia="zh-CN"/>
        </w:rPr>
        <w:t>规范书</w:t>
      </w:r>
    </w:p>
    <w:p>
      <w:pPr>
        <w:spacing w:line="360" w:lineRule="auto"/>
        <w:jc w:val="left"/>
        <w:rPr>
          <w:rFonts w:hint="eastAsia" w:ascii="新宋体" w:hAnsi="新宋体" w:eastAsia="新宋体" w:cs="新宋体"/>
          <w:b/>
          <w:sz w:val="28"/>
          <w:szCs w:val="28"/>
        </w:rPr>
      </w:pPr>
      <w:bookmarkStart w:id="1" w:name="_Toc187799398"/>
      <w:bookmarkStart w:id="2" w:name="_Toc187807088"/>
      <w:bookmarkStart w:id="3" w:name="_Toc141871288"/>
    </w:p>
    <w:p>
      <w:pPr>
        <w:spacing w:line="360" w:lineRule="auto"/>
        <w:jc w:val="left"/>
        <w:rPr>
          <w:rFonts w:hint="eastAsia" w:ascii="新宋体" w:hAnsi="新宋体" w:eastAsia="新宋体" w:cs="新宋体"/>
          <w:b/>
          <w:sz w:val="28"/>
          <w:szCs w:val="28"/>
        </w:rPr>
      </w:pPr>
      <w:r>
        <w:rPr>
          <w:rFonts w:hint="eastAsia" w:ascii="新宋体" w:hAnsi="新宋体" w:eastAsia="新宋体" w:cs="新宋体"/>
          <w:b/>
          <w:sz w:val="28"/>
          <w:szCs w:val="28"/>
        </w:rPr>
        <w:t>1、总则</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1.1 本技术规范书适用于湖南省湘澧盐化有限责任公司</w:t>
      </w:r>
      <w:r>
        <w:rPr>
          <w:rFonts w:hint="eastAsia"/>
          <w:sz w:val="24"/>
          <w:lang w:val="en-US" w:eastAsia="zh-CN"/>
        </w:rPr>
        <w:t>生态盐分级分筛建设项目平面回旋筛</w:t>
      </w:r>
      <w:r>
        <w:rPr>
          <w:rFonts w:hint="eastAsia" w:ascii="新宋体" w:hAnsi="新宋体" w:eastAsia="新宋体" w:cs="新宋体"/>
          <w:snapToGrid w:val="0"/>
          <w:kern w:val="0"/>
          <w:sz w:val="24"/>
          <w:szCs w:val="24"/>
          <w:lang w:eastAsia="zh-CN"/>
        </w:rPr>
        <w:t>的采购</w:t>
      </w:r>
      <w:r>
        <w:rPr>
          <w:rFonts w:hint="eastAsia" w:ascii="新宋体" w:hAnsi="新宋体" w:eastAsia="新宋体" w:cs="新宋体"/>
          <w:snapToGrid w:val="0"/>
          <w:kern w:val="0"/>
          <w:sz w:val="24"/>
          <w:szCs w:val="24"/>
        </w:rPr>
        <w:t>,它提出了</w:t>
      </w:r>
      <w:r>
        <w:rPr>
          <w:rFonts w:hint="eastAsia" w:ascii="新宋体" w:hAnsi="新宋体" w:eastAsia="新宋体" w:cs="新宋体"/>
          <w:snapToGrid w:val="0"/>
          <w:kern w:val="0"/>
          <w:sz w:val="24"/>
          <w:szCs w:val="24"/>
          <w:lang w:eastAsia="zh-CN"/>
        </w:rPr>
        <w:t>平面回旋筛的工作介质特性、操作条件、制作安装及检验等方面的技术要求</w:t>
      </w:r>
      <w:r>
        <w:rPr>
          <w:rFonts w:hint="eastAsia" w:ascii="新宋体" w:hAnsi="新宋体" w:eastAsia="新宋体" w:cs="新宋体"/>
          <w:snapToGrid w:val="0"/>
          <w:kern w:val="0"/>
          <w:sz w:val="24"/>
          <w:szCs w:val="24"/>
        </w:rPr>
        <w:t>。</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1.2技术规范书所提及的要求和供货范围都是最低限度的要求，并未对一切技术细节作出规定，也未充分地详述有关标准和规范的条文，但投标方应保证提供符合本技术规范书和工业标准的功能齐全的优质产品及其相应服务。</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1.3 投标人如对本技术规范书有偏差(无论多少或微小)都必须清楚地以书面方式提交招标人，否则招标人将认为投标人完全接受和同意本技术规范书的要求。</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1.4</w:t>
      </w:r>
      <w:bookmarkStart w:id="4" w:name="_Toc171936601"/>
      <w:bookmarkStart w:id="5" w:name="_Toc171611485"/>
      <w:bookmarkStart w:id="6" w:name="_Toc171936647"/>
      <w:r>
        <w:rPr>
          <w:rFonts w:hint="eastAsia" w:ascii="新宋体" w:hAnsi="新宋体" w:eastAsia="新宋体" w:cs="新宋体"/>
          <w:snapToGrid w:val="0"/>
          <w:kern w:val="0"/>
          <w:sz w:val="24"/>
          <w:szCs w:val="24"/>
        </w:rPr>
        <w:t>投标人须执行本技术规范书所列标准。有矛盾时，按较高标准执行。投标人在设备设计和制造中所涉及的各项规程、规范和标准必须遵循现行最新版本。</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1.5</w:t>
      </w:r>
      <w:bookmarkEnd w:id="4"/>
      <w:bookmarkEnd w:id="5"/>
      <w:bookmarkEnd w:id="6"/>
      <w:bookmarkStart w:id="7" w:name="_Toc171936648"/>
      <w:bookmarkStart w:id="8" w:name="_Toc171611486"/>
      <w:bookmarkStart w:id="9" w:name="_Toc171936602"/>
      <w:r>
        <w:rPr>
          <w:rFonts w:hint="eastAsia" w:ascii="新宋体" w:hAnsi="新宋体" w:eastAsia="新宋体" w:cs="新宋体"/>
          <w:snapToGrid w:val="0"/>
          <w:kern w:val="0"/>
          <w:sz w:val="24"/>
          <w:szCs w:val="24"/>
        </w:rPr>
        <w:t>若设备采用的专利涉及到的全部费用均被认为已包含在设备报价中，投标人应保证招标人不承担有关设备专利的一切责任。</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1.6</w:t>
      </w:r>
      <w:bookmarkEnd w:id="7"/>
      <w:bookmarkEnd w:id="8"/>
      <w:bookmarkEnd w:id="9"/>
      <w:bookmarkStart w:id="10" w:name="_Toc171936603"/>
      <w:bookmarkStart w:id="11" w:name="_Toc171611487"/>
      <w:bookmarkStart w:id="12" w:name="_Toc171936649"/>
      <w:r>
        <w:rPr>
          <w:rFonts w:hint="eastAsia" w:ascii="新宋体" w:hAnsi="新宋体" w:eastAsia="新宋体" w:cs="新宋体"/>
          <w:snapToGrid w:val="0"/>
          <w:kern w:val="0"/>
          <w:sz w:val="24"/>
          <w:szCs w:val="24"/>
        </w:rPr>
        <w:t>投标人应提供高质量的产品。这些产品焊接质量可靠、尺寸准确、表面处理符合图纸要求，焊缝打磨光滑，表面光洁。投标人应为产品的质量负责并具备提供高质量产品的设备制作能力和技术条件。</w:t>
      </w:r>
      <w:r>
        <w:rPr>
          <w:rFonts w:hint="eastAsia" w:ascii="新宋体" w:hAnsi="新宋体" w:eastAsia="新宋体" w:cs="新宋体"/>
          <w:color w:val="333333"/>
          <w:sz w:val="24"/>
          <w:szCs w:val="24"/>
        </w:rPr>
        <w:t xml:space="preserve">                                                                                                                                                                                                                                                                                                                                                                                                                                                                                                                                                                                                                                                  </w:t>
      </w:r>
    </w:p>
    <w:p>
      <w:pPr>
        <w:spacing w:line="360" w:lineRule="auto"/>
        <w:ind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1.7</w:t>
      </w:r>
      <w:bookmarkEnd w:id="10"/>
      <w:bookmarkEnd w:id="11"/>
      <w:bookmarkEnd w:id="12"/>
      <w:r>
        <w:rPr>
          <w:rFonts w:hint="eastAsia" w:ascii="新宋体" w:hAnsi="新宋体" w:eastAsia="新宋体" w:cs="新宋体"/>
          <w:snapToGrid w:val="0"/>
          <w:kern w:val="0"/>
          <w:sz w:val="24"/>
          <w:szCs w:val="24"/>
        </w:rPr>
        <w:t>本技术规范书所定规范为最低要求，如投标方有更优良、经济的方案，可以超出本技术规范书所规定的条款。</w:t>
      </w:r>
    </w:p>
    <w:p>
      <w:pPr>
        <w:spacing w:line="360" w:lineRule="auto"/>
        <w:ind w:left="1"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1.8在签订合同之后，投标人有权提出因规范、标准和规程发生变化而产生的一些补充要求，具体项目由双方共同商定。</w:t>
      </w:r>
      <w:bookmarkStart w:id="13" w:name="_Toc171611488"/>
      <w:bookmarkStart w:id="14" w:name="_Toc171936604"/>
      <w:bookmarkStart w:id="15" w:name="_Toc171936650"/>
    </w:p>
    <w:p>
      <w:pPr>
        <w:spacing w:line="360" w:lineRule="auto"/>
        <w:ind w:left="1" w:firstLine="480" w:firstLineChars="200"/>
        <w:jc w:val="left"/>
        <w:rPr>
          <w:rFonts w:hint="eastAsia" w:ascii="新宋体" w:hAnsi="新宋体" w:eastAsia="新宋体" w:cs="新宋体"/>
          <w:snapToGrid w:val="0"/>
          <w:kern w:val="0"/>
          <w:sz w:val="24"/>
          <w:szCs w:val="24"/>
        </w:rPr>
      </w:pPr>
      <w:r>
        <w:rPr>
          <w:rFonts w:hint="eastAsia" w:ascii="新宋体" w:hAnsi="新宋体" w:eastAsia="新宋体" w:cs="新宋体"/>
          <w:snapToGrid w:val="0"/>
          <w:kern w:val="0"/>
          <w:sz w:val="24"/>
          <w:szCs w:val="24"/>
        </w:rPr>
        <w:t>1.9本技术规范书将为订货合同的附件，与合同正文具有同等效力。</w:t>
      </w:r>
      <w:bookmarkEnd w:id="13"/>
      <w:bookmarkEnd w:id="14"/>
      <w:bookmarkEnd w:id="15"/>
    </w:p>
    <w:p>
      <w:pPr>
        <w:pStyle w:val="2"/>
        <w:keepLines w:val="0"/>
        <w:widowControl/>
        <w:numPr>
          <w:ilvl w:val="0"/>
          <w:numId w:val="0"/>
        </w:numPr>
        <w:tabs>
          <w:tab w:val="left" w:pos="420"/>
        </w:tabs>
        <w:spacing w:before="0" w:line="360" w:lineRule="auto"/>
        <w:ind w:leftChars="0"/>
        <w:jc w:val="both"/>
        <w:rPr>
          <w:rFonts w:hint="eastAsia" w:ascii="宋体" w:hAnsi="宋体" w:eastAsia="宋体" w:cs="宋体"/>
          <w:b w:val="0"/>
          <w:sz w:val="24"/>
          <w:szCs w:val="24"/>
          <w:lang w:val="en-US" w:eastAsia="zh-CN"/>
        </w:rPr>
      </w:pPr>
    </w:p>
    <w:p>
      <w:pPr>
        <w:pStyle w:val="2"/>
        <w:keepLines w:val="0"/>
        <w:widowControl/>
        <w:numPr>
          <w:ilvl w:val="0"/>
          <w:numId w:val="0"/>
        </w:numPr>
        <w:tabs>
          <w:tab w:val="left" w:pos="420"/>
        </w:tabs>
        <w:spacing w:before="0" w:line="360" w:lineRule="auto"/>
        <w:ind w:leftChars="0"/>
        <w:jc w:val="both"/>
        <w:rPr>
          <w:rFonts w:hint="eastAsia" w:ascii="黑体" w:hAnsi="宋体" w:cs="Arial"/>
          <w:b/>
          <w:bCs w:val="0"/>
          <w:sz w:val="28"/>
          <w:szCs w:val="28"/>
        </w:rPr>
      </w:pP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rPr>
        <w:t>应用及设计参数</w:t>
      </w:r>
    </w:p>
    <w:p>
      <w:pPr>
        <w:pStyle w:val="3"/>
        <w:widowControl/>
        <w:numPr>
          <w:ilvl w:val="0"/>
          <w:numId w:val="0"/>
        </w:numPr>
        <w:tabs>
          <w:tab w:val="left" w:pos="420"/>
          <w:tab w:val="left" w:pos="525"/>
          <w:tab w:val="left" w:pos="576"/>
        </w:tabs>
        <w:spacing w:before="0" w:beforeLines="0" w:after="0" w:afterLines="0" w:line="360" w:lineRule="auto"/>
        <w:ind w:leftChars="0"/>
        <w:jc w:val="both"/>
        <w:rPr>
          <w:rFonts w:ascii="黑体" w:hAnsi="宋体"/>
          <w:b w:val="0"/>
          <w:sz w:val="24"/>
        </w:rPr>
      </w:pPr>
      <w:r>
        <w:rPr>
          <w:rFonts w:hint="eastAsia" w:ascii="黑体" w:hAnsi="宋体"/>
          <w:b w:val="0"/>
          <w:sz w:val="24"/>
          <w:lang w:val="en-US" w:eastAsia="zh-CN"/>
        </w:rPr>
        <w:t>2.1</w:t>
      </w:r>
      <w:r>
        <w:rPr>
          <w:rFonts w:ascii="黑体" w:hAnsi="宋体"/>
          <w:b w:val="0"/>
          <w:sz w:val="24"/>
        </w:rPr>
        <w:t>项目概述</w:t>
      </w:r>
    </w:p>
    <w:p>
      <w:pPr>
        <w:spacing w:line="360" w:lineRule="auto"/>
        <w:ind w:firstLine="480" w:firstLineChars="200"/>
        <w:rPr>
          <w:rFonts w:hint="eastAsia"/>
          <w:color w:val="000000"/>
          <w:sz w:val="24"/>
        </w:rPr>
      </w:pPr>
      <w:r>
        <w:rPr>
          <w:rFonts w:hint="eastAsia"/>
          <w:color w:val="000000"/>
          <w:sz w:val="24"/>
        </w:rPr>
        <w:t>本项目为湖南</w:t>
      </w:r>
      <w:r>
        <w:rPr>
          <w:rFonts w:hint="eastAsia"/>
          <w:color w:val="000000"/>
          <w:sz w:val="24"/>
          <w:lang w:val="en-US" w:eastAsia="zh-CN"/>
        </w:rPr>
        <w:t>省</w:t>
      </w:r>
      <w:r>
        <w:rPr>
          <w:rFonts w:hint="eastAsia"/>
          <w:color w:val="000000"/>
          <w:sz w:val="24"/>
        </w:rPr>
        <w:t>湘澧盐化有限</w:t>
      </w:r>
      <w:r>
        <w:rPr>
          <w:rFonts w:hint="eastAsia"/>
          <w:color w:val="000000"/>
          <w:sz w:val="24"/>
          <w:lang w:val="en-US" w:eastAsia="zh-CN"/>
        </w:rPr>
        <w:t>责任</w:t>
      </w:r>
      <w:r>
        <w:rPr>
          <w:rFonts w:hint="eastAsia"/>
          <w:color w:val="000000"/>
          <w:sz w:val="24"/>
        </w:rPr>
        <w:t>公司</w:t>
      </w:r>
      <w:r>
        <w:rPr>
          <w:rFonts w:hint="eastAsia"/>
          <w:color w:val="000000"/>
          <w:sz w:val="24"/>
          <w:lang w:val="en-US" w:eastAsia="zh-CN"/>
        </w:rPr>
        <w:t>生态盐分级分筛车间建设项目3台回旋摇摆筛采购</w:t>
      </w:r>
      <w:r>
        <w:rPr>
          <w:rFonts w:hint="eastAsia"/>
          <w:color w:val="000000"/>
          <w:sz w:val="24"/>
        </w:rPr>
        <w:t>。</w:t>
      </w:r>
      <w:r>
        <w:rPr>
          <w:rFonts w:hint="eastAsia" w:ascii="宋体" w:hAnsi="宋体" w:cs="宋体"/>
          <w:color w:val="000000"/>
          <w:kern w:val="0"/>
          <w:sz w:val="24"/>
          <w:szCs w:val="24"/>
        </w:rPr>
        <w:t>该食用盐分筛设备</w:t>
      </w:r>
      <w:r>
        <w:rPr>
          <w:rFonts w:hint="eastAsia" w:ascii="宋体" w:hAnsi="宋体" w:cs="宋体"/>
          <w:color w:val="000000"/>
          <w:kern w:val="0"/>
          <w:sz w:val="24"/>
          <w:szCs w:val="24"/>
          <w:lang w:val="en-US" w:eastAsia="zh-CN"/>
        </w:rPr>
        <w:t>一级分筛由一台回旋筛</w:t>
      </w:r>
      <w:r>
        <w:rPr>
          <w:rFonts w:hint="eastAsia" w:ascii="宋体" w:hAnsi="宋体" w:cs="宋体"/>
          <w:color w:val="000000"/>
          <w:kern w:val="0"/>
          <w:sz w:val="24"/>
          <w:szCs w:val="24"/>
        </w:rPr>
        <w:t>处理</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其处理</w:t>
      </w:r>
      <w:r>
        <w:rPr>
          <w:rFonts w:hint="eastAsia" w:ascii="宋体" w:hAnsi="宋体" w:cs="宋体"/>
          <w:color w:val="000000"/>
          <w:kern w:val="0"/>
          <w:sz w:val="24"/>
          <w:szCs w:val="24"/>
        </w:rPr>
        <w:t>能力为</w:t>
      </w:r>
      <w:r>
        <w:rPr>
          <w:rFonts w:hint="eastAsia" w:ascii="宋体" w:hAnsi="宋体" w:cs="宋体"/>
          <w:color w:val="000000"/>
          <w:kern w:val="0"/>
          <w:sz w:val="24"/>
          <w:szCs w:val="24"/>
          <w:lang w:val="en-US" w:eastAsia="zh-CN"/>
        </w:rPr>
        <w:t>18</w:t>
      </w:r>
      <w:r>
        <w:rPr>
          <w:rFonts w:hint="eastAsia" w:ascii="宋体" w:hAnsi="宋体" w:cs="宋体"/>
          <w:color w:val="000000"/>
          <w:kern w:val="0"/>
          <w:sz w:val="24"/>
          <w:szCs w:val="24"/>
        </w:rPr>
        <w:t>t/h，经过筛分后，要求分选出</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个粒度区间的品种，</w:t>
      </w:r>
      <w:r>
        <w:rPr>
          <w:rFonts w:hint="eastAsia" w:ascii="宋体" w:hAnsi="宋体" w:cs="宋体"/>
          <w:color w:val="000000"/>
          <w:kern w:val="0"/>
          <w:sz w:val="24"/>
          <w:szCs w:val="24"/>
          <w:lang w:eastAsia="zh-CN"/>
        </w:rPr>
        <w:t>第一层</w:t>
      </w:r>
      <w:r>
        <w:rPr>
          <w:rFonts w:hint="eastAsia" w:ascii="宋体" w:hAnsi="宋体" w:cs="宋体"/>
          <w:color w:val="000000"/>
          <w:kern w:val="0"/>
          <w:sz w:val="24"/>
          <w:szCs w:val="24"/>
        </w:rPr>
        <w:t>筛上物为粒度大于0.8</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mm果盐；第二层筛上物为粒度0.</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～0.8</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mm的产品，第三层筛上物为粒度0.</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～0.</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mm的产品</w:t>
      </w:r>
      <w:r>
        <w:rPr>
          <w:rFonts w:hint="eastAsia" w:ascii="宋体" w:hAnsi="宋体" w:cs="宋体"/>
          <w:color w:val="000000"/>
          <w:kern w:val="0"/>
          <w:sz w:val="24"/>
          <w:szCs w:val="24"/>
          <w:lang w:eastAsia="zh-CN"/>
        </w:rPr>
        <w:t>，第二层与第三层筛上物进入同一出料口，接入</w:t>
      </w:r>
      <w:r>
        <w:rPr>
          <w:rFonts w:hint="eastAsia" w:ascii="宋体" w:hAnsi="宋体" w:cs="宋体"/>
          <w:color w:val="000000"/>
          <w:kern w:val="0"/>
          <w:sz w:val="24"/>
          <w:szCs w:val="24"/>
          <w:lang w:val="en-US" w:eastAsia="zh-CN"/>
        </w:rPr>
        <w:t>螺旋</w:t>
      </w:r>
      <w:r>
        <w:rPr>
          <w:rFonts w:hint="eastAsia" w:ascii="宋体" w:hAnsi="宋体" w:cs="宋体"/>
          <w:color w:val="000000"/>
          <w:kern w:val="0"/>
          <w:sz w:val="24"/>
          <w:szCs w:val="24"/>
          <w:lang w:eastAsia="zh-CN"/>
        </w:rPr>
        <w:t>输送</w:t>
      </w:r>
      <w:r>
        <w:rPr>
          <w:rFonts w:hint="eastAsia" w:ascii="宋体" w:hAnsi="宋体" w:cs="宋体"/>
          <w:color w:val="000000"/>
          <w:kern w:val="0"/>
          <w:sz w:val="24"/>
          <w:szCs w:val="24"/>
          <w:lang w:val="en-US" w:eastAsia="zh-CN"/>
        </w:rPr>
        <w:t>机进入斗提机到气力输送缓冲料仓进行气力输送</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第三层的筛下物为小于0.</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mm的</w:t>
      </w:r>
      <w:r>
        <w:rPr>
          <w:rFonts w:hint="eastAsia" w:ascii="宋体" w:hAnsi="宋体" w:cs="宋体"/>
          <w:color w:val="000000"/>
          <w:kern w:val="0"/>
          <w:sz w:val="24"/>
          <w:szCs w:val="24"/>
          <w:lang w:eastAsia="zh-CN"/>
        </w:rPr>
        <w:t>产品，</w:t>
      </w:r>
      <w:r>
        <w:rPr>
          <w:rFonts w:hint="eastAsia" w:ascii="宋体" w:hAnsi="宋体" w:cs="宋体"/>
          <w:color w:val="000000"/>
          <w:kern w:val="0"/>
          <w:sz w:val="24"/>
          <w:szCs w:val="24"/>
          <w:lang w:val="en-US" w:eastAsia="zh-CN"/>
        </w:rPr>
        <w:t>同粒度0.85以上的果盐汇在一起</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通过螺旋输送机输送到制盐干燥1号皮带输送机上，0.3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0.85的食用盐再通过气力输送输送到包装厂一期楼顶23.7米层2个原盐料仓后，再进行2次筛分，通过2台处理能力为8t/h回旋摇摆筛分离出0.3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0.5及0.5</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0.85的2种物料，进入下方的原盐料仓或皮带输送机上，其中0.5</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0.85原料筛分精度必须在93%以上</w:t>
      </w:r>
      <w:r>
        <w:rPr>
          <w:rFonts w:hint="eastAsia" w:ascii="宋体" w:hAnsi="宋体" w:cs="宋体"/>
          <w:color w:val="000000"/>
          <w:kern w:val="0"/>
          <w:sz w:val="24"/>
          <w:szCs w:val="24"/>
        </w:rPr>
        <w:t>。</w:t>
      </w:r>
    </w:p>
    <w:p>
      <w:pPr>
        <w:pStyle w:val="3"/>
        <w:widowControl/>
        <w:numPr>
          <w:ilvl w:val="0"/>
          <w:numId w:val="0"/>
        </w:numPr>
        <w:tabs>
          <w:tab w:val="left" w:pos="420"/>
          <w:tab w:val="left" w:pos="525"/>
          <w:tab w:val="left" w:pos="576"/>
        </w:tabs>
        <w:spacing w:before="0" w:beforeLines="0" w:after="0" w:afterLines="0" w:line="360" w:lineRule="auto"/>
        <w:ind w:leftChars="0"/>
        <w:jc w:val="both"/>
        <w:rPr>
          <w:rFonts w:hint="eastAsia" w:ascii="黑体" w:hAnsi="宋体"/>
          <w:b w:val="0"/>
          <w:sz w:val="24"/>
        </w:rPr>
      </w:pPr>
      <w:r>
        <w:rPr>
          <w:rFonts w:hint="eastAsia" w:ascii="黑体" w:hAnsi="宋体"/>
          <w:b w:val="0"/>
          <w:sz w:val="24"/>
          <w:lang w:val="en-US" w:eastAsia="zh-CN"/>
        </w:rPr>
        <w:t>2.2</w:t>
      </w:r>
      <w:r>
        <w:rPr>
          <w:rFonts w:hint="eastAsia" w:ascii="黑体" w:hAnsi="宋体"/>
          <w:b w:val="0"/>
          <w:sz w:val="24"/>
        </w:rPr>
        <w:t>公用工程及气象条件</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湖南省湘澧盐化有限责任公司所在区域属中亚热带季风湿润气候区，具有热量丰富，无霜期长，光照充足，雨量充沛，气温垂直差异明显，气候要素时空分布不均等特点。</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历年平均气温：                 16.5℃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绝对最高气温：                 40.5℃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绝对最低气温：                -13.5℃</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历年平均相对湿度：             80%</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多年平均气压：                 101.14kpa</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历年平均降雨量：               1273.7mm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最大日降雨量：                 232mm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露    点：</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-10ºC</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最大积雪厚度：                 200mm</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多年平均风速：                 2.6m/s</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最大风速：                　　 21.7m/s</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夏季主导风向：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南、西南</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冬季主导风向：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北、东北（频率18%）</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评价地区常年主导风风向为北、北东风，风向频率分别为18%；夏季盛行南、南西风，风向频率为17%。全年静风频率为17%，夏季较低，为12%，冬季较高，为22%。</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安装位置：湖南省湘澧盐化有限责任公司厂区</w:t>
      </w:r>
      <w:r>
        <w:rPr>
          <w:rFonts w:hint="eastAsia" w:ascii="新宋体" w:hAnsi="新宋体" w:eastAsia="新宋体" w:cs="新宋体"/>
          <w:sz w:val="24"/>
          <w:lang w:val="en-US" w:eastAsia="zh-CN"/>
        </w:rPr>
        <w:t>制盐新干燥车间</w:t>
      </w:r>
      <w:r>
        <w:rPr>
          <w:rFonts w:hint="eastAsia" w:ascii="新宋体" w:hAnsi="新宋体" w:eastAsia="新宋体" w:cs="新宋体"/>
          <w:sz w:val="24"/>
        </w:rPr>
        <w:t>室内零米层安装。</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运行方式：连续运行</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吸入空气含尘量：10g/Nm</w:t>
      </w:r>
      <w:r>
        <w:rPr>
          <w:rFonts w:hint="eastAsia" w:ascii="新宋体" w:hAnsi="新宋体" w:eastAsia="新宋体" w:cs="新宋体"/>
          <w:sz w:val="24"/>
          <w:vertAlign w:val="superscript"/>
        </w:rPr>
        <w:t>3</w:t>
      </w:r>
      <w:r>
        <w:rPr>
          <w:rFonts w:hint="eastAsia" w:ascii="新宋体" w:hAnsi="新宋体" w:eastAsia="新宋体" w:cs="新宋体"/>
          <w:sz w:val="24"/>
        </w:rPr>
        <w:tab/>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危险区域：无</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地面照度：大于100 lux</w:t>
      </w:r>
    </w:p>
    <w:p>
      <w:pPr>
        <w:spacing w:line="360" w:lineRule="auto"/>
        <w:rPr>
          <w:rFonts w:ascii="黑体" w:hAnsi="宋体"/>
          <w:b/>
          <w:bCs/>
          <w:sz w:val="24"/>
        </w:rPr>
      </w:pPr>
      <w:r>
        <w:rPr>
          <w:b/>
          <w:bCs/>
          <w:sz w:val="24"/>
        </w:rPr>
        <w:t>2.</w:t>
      </w:r>
      <w:r>
        <w:rPr>
          <w:rFonts w:hint="eastAsia"/>
          <w:b/>
          <w:bCs/>
          <w:sz w:val="24"/>
          <w:lang w:val="en-US" w:eastAsia="zh-CN"/>
        </w:rPr>
        <w:t>3</w:t>
      </w:r>
      <w:r>
        <w:rPr>
          <w:b/>
          <w:bCs/>
          <w:sz w:val="24"/>
        </w:rPr>
        <w:t xml:space="preserve"> </w:t>
      </w:r>
      <w:r>
        <w:rPr>
          <w:rFonts w:hint="eastAsia" w:ascii="黑体" w:hAnsi="宋体"/>
          <w:b/>
          <w:bCs/>
          <w:sz w:val="24"/>
        </w:rPr>
        <w:t>电力设施</w:t>
      </w:r>
    </w:p>
    <w:p>
      <w:pPr>
        <w:spacing w:line="360" w:lineRule="auto"/>
        <w:ind w:firstLine="480" w:firstLineChars="200"/>
        <w:rPr>
          <w:rFonts w:hint="eastAsia" w:ascii="新宋体" w:hAnsi="新宋体" w:eastAsia="新宋体" w:cs="新宋体"/>
          <w:kern w:val="0"/>
          <w:sz w:val="24"/>
        </w:rPr>
      </w:pPr>
      <w:r>
        <w:rPr>
          <w:rFonts w:hint="eastAsia" w:ascii="新宋体" w:hAnsi="新宋体" w:eastAsia="新宋体" w:cs="新宋体"/>
          <w:sz w:val="24"/>
        </w:rPr>
        <w:t>动力电源：AC 220V/380V，50Hz，三相五线制</w:t>
      </w:r>
    </w:p>
    <w:p>
      <w:pPr>
        <w:spacing w:line="360" w:lineRule="auto"/>
        <w:ind w:firstLine="480" w:firstLineChars="200"/>
        <w:rPr>
          <w:rFonts w:hint="eastAsia" w:ascii="新宋体" w:hAnsi="新宋体" w:eastAsia="新宋体" w:cs="新宋体"/>
          <w:kern w:val="0"/>
          <w:sz w:val="24"/>
        </w:rPr>
      </w:pPr>
      <w:r>
        <w:rPr>
          <w:rFonts w:hint="eastAsia" w:ascii="新宋体" w:hAnsi="新宋体" w:eastAsia="新宋体" w:cs="新宋体"/>
          <w:sz w:val="24"/>
        </w:rPr>
        <w:t>电压波动：</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±5%</w:t>
      </w:r>
    </w:p>
    <w:p>
      <w:pPr>
        <w:spacing w:line="360" w:lineRule="auto"/>
        <w:ind w:firstLine="480" w:firstLineChars="200"/>
        <w:rPr>
          <w:rFonts w:hint="eastAsia" w:ascii="新宋体" w:hAnsi="新宋体" w:eastAsia="新宋体" w:cs="新宋体"/>
          <w:kern w:val="0"/>
          <w:sz w:val="24"/>
        </w:rPr>
      </w:pPr>
      <w:r>
        <w:rPr>
          <w:rFonts w:hint="eastAsia" w:ascii="新宋体" w:hAnsi="新宋体" w:eastAsia="新宋体" w:cs="新宋体"/>
          <w:sz w:val="24"/>
        </w:rPr>
        <w:t>频率波动：</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±1%</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接地电阻：</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&lt;1Ω</w:t>
      </w:r>
    </w:p>
    <w:p>
      <w:pPr>
        <w:widowControl/>
        <w:numPr>
          <w:ilvl w:val="0"/>
          <w:numId w:val="0"/>
        </w:numPr>
        <w:spacing w:line="360" w:lineRule="auto"/>
        <w:ind w:leftChars="0"/>
        <w:jc w:val="left"/>
        <w:rPr>
          <w:rFonts w:hint="eastAsia" w:ascii="新宋体" w:hAnsi="新宋体" w:eastAsia="新宋体" w:cs="新宋体"/>
          <w:b/>
          <w:sz w:val="24"/>
          <w:szCs w:val="24"/>
          <w:lang w:eastAsia="zh-CN"/>
        </w:rPr>
      </w:pPr>
      <w:bookmarkStart w:id="16" w:name="_Toc287280865"/>
      <w:bookmarkStart w:id="17" w:name="_Toc464230164"/>
      <w:r>
        <w:rPr>
          <w:rFonts w:hint="default" w:eastAsia="新宋体" w:cs="新宋体" w:asciiTheme="majorAscii" w:hAnsiTheme="majorAscii"/>
          <w:b/>
          <w:sz w:val="24"/>
          <w:szCs w:val="24"/>
          <w:lang w:val="en-US" w:eastAsia="zh-CN"/>
        </w:rPr>
        <w:t xml:space="preserve">2.4 </w:t>
      </w:r>
      <w:r>
        <w:rPr>
          <w:rFonts w:hint="eastAsia" w:ascii="新宋体" w:hAnsi="新宋体" w:eastAsia="新宋体" w:cs="新宋体"/>
          <w:b/>
          <w:sz w:val="24"/>
          <w:szCs w:val="24"/>
          <w:lang w:eastAsia="zh-CN"/>
        </w:rPr>
        <w:t>物料特性</w:t>
      </w:r>
    </w:p>
    <w:p>
      <w:pPr>
        <w:widowControl/>
        <w:numPr>
          <w:ilvl w:val="0"/>
          <w:numId w:val="0"/>
        </w:numPr>
        <w:spacing w:line="360" w:lineRule="auto"/>
        <w:ind w:leftChars="0"/>
        <w:jc w:val="left"/>
        <w:rPr>
          <w:rFonts w:hint="eastAsia" w:ascii="新宋体" w:hAnsi="新宋体" w:eastAsia="新宋体" w:cs="新宋体"/>
          <w:b w:val="0"/>
          <w:bCs/>
          <w:sz w:val="24"/>
          <w:szCs w:val="24"/>
          <w:lang w:val="en-US" w:eastAsia="zh-CN"/>
        </w:rPr>
      </w:pPr>
      <w:r>
        <w:rPr>
          <w:rFonts w:hint="eastAsia" w:ascii="新宋体" w:hAnsi="新宋体" w:eastAsia="新宋体" w:cs="新宋体"/>
          <w:b/>
          <w:sz w:val="24"/>
          <w:szCs w:val="24"/>
          <w:lang w:val="en-US" w:eastAsia="zh-CN"/>
        </w:rPr>
        <w:t xml:space="preserve">  </w:t>
      </w:r>
      <w:r>
        <w:rPr>
          <w:rFonts w:hint="eastAsia" w:ascii="新宋体" w:hAnsi="新宋体" w:eastAsia="新宋体" w:cs="新宋体"/>
          <w:b w:val="0"/>
          <w:bCs/>
          <w:sz w:val="24"/>
          <w:szCs w:val="24"/>
          <w:lang w:val="en-US" w:eastAsia="zh-CN"/>
        </w:rPr>
        <w:t xml:space="preserve"> 物料名称：食用盐</w:t>
      </w:r>
    </w:p>
    <w:p>
      <w:pPr>
        <w:widowControl/>
        <w:numPr>
          <w:ilvl w:val="0"/>
          <w:numId w:val="0"/>
        </w:numPr>
        <w:spacing w:line="360" w:lineRule="auto"/>
        <w:ind w:leftChars="0"/>
        <w:jc w:val="left"/>
        <w:rPr>
          <w:rFonts w:hint="eastAsia" w:ascii="新宋体" w:hAnsi="新宋体" w:eastAsia="新宋体" w:cs="新宋体"/>
          <w:b w:val="0"/>
          <w:bCs/>
          <w:sz w:val="24"/>
          <w:szCs w:val="24"/>
          <w:lang w:val="en-US" w:eastAsia="zh-CN"/>
        </w:rPr>
      </w:pPr>
      <w:r>
        <w:rPr>
          <w:rFonts w:hint="eastAsia" w:ascii="新宋体" w:hAnsi="新宋体" w:eastAsia="新宋体" w:cs="新宋体"/>
          <w:b w:val="0"/>
          <w:bCs/>
          <w:sz w:val="24"/>
          <w:szCs w:val="24"/>
          <w:lang w:val="en-US" w:eastAsia="zh-CN"/>
        </w:rPr>
        <w:t xml:space="preserve">   堆积密度：1.25t/m3</w:t>
      </w:r>
    </w:p>
    <w:p>
      <w:pPr>
        <w:widowControl/>
        <w:numPr>
          <w:ilvl w:val="0"/>
          <w:numId w:val="0"/>
        </w:numPr>
        <w:spacing w:line="360" w:lineRule="auto"/>
        <w:ind w:leftChars="200"/>
        <w:jc w:val="left"/>
        <w:rPr>
          <w:rFonts w:hint="default" w:ascii="新宋体" w:hAnsi="新宋体" w:eastAsia="新宋体" w:cs="新宋体"/>
          <w:b w:val="0"/>
          <w:bCs/>
          <w:sz w:val="24"/>
          <w:szCs w:val="24"/>
          <w:lang w:val="en-US" w:eastAsia="zh-CN"/>
        </w:rPr>
      </w:pPr>
      <w:r>
        <w:rPr>
          <w:rFonts w:hint="eastAsia" w:ascii="新宋体" w:hAnsi="新宋体" w:eastAsia="新宋体" w:cs="新宋体"/>
          <w:b w:val="0"/>
          <w:bCs/>
          <w:sz w:val="24"/>
          <w:szCs w:val="24"/>
          <w:highlight w:val="none"/>
          <w:lang w:val="en-US" w:eastAsia="zh-CN"/>
        </w:rPr>
        <w:t>粒径分布：</w:t>
      </w:r>
      <w:r>
        <w:rPr>
          <w:rFonts w:hint="eastAsia"/>
          <w:sz w:val="24"/>
          <w:lang w:val="en-US" w:eastAsia="zh-CN"/>
        </w:rPr>
        <w:t>图表数据为公司2021年颗粒盐生产统计数据，仅作为参考，筛子选型应考虑非正常状况，给予一定的冗余。</w:t>
      </w:r>
    </w:p>
    <w:tbl>
      <w:tblPr>
        <w:tblStyle w:val="15"/>
        <w:tblW w:w="8782"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4319"/>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11"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序号</w:t>
            </w:r>
          </w:p>
        </w:tc>
        <w:tc>
          <w:tcPr>
            <w:tcW w:w="4319"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粒度</w:t>
            </w:r>
          </w:p>
        </w:tc>
        <w:tc>
          <w:tcPr>
            <w:tcW w:w="2852"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11"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1</w:t>
            </w:r>
          </w:p>
        </w:tc>
        <w:tc>
          <w:tcPr>
            <w:tcW w:w="4319"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＞0.8</w:t>
            </w:r>
            <w:r>
              <w:rPr>
                <w:rFonts w:hint="eastAsia" w:ascii="楷体_GB2312" w:hAnsi="宋体" w:eastAsia="楷体_GB2312"/>
                <w:sz w:val="24"/>
                <w:szCs w:val="24"/>
                <w:lang w:val="en-US" w:eastAsia="zh-CN"/>
              </w:rPr>
              <w:t>5</w:t>
            </w:r>
            <w:r>
              <w:rPr>
                <w:rFonts w:hint="eastAsia" w:ascii="楷体_GB2312" w:hAnsi="宋体" w:eastAsia="楷体_GB2312"/>
                <w:sz w:val="24"/>
                <w:szCs w:val="24"/>
              </w:rPr>
              <w:t>mm</w:t>
            </w:r>
          </w:p>
        </w:tc>
        <w:tc>
          <w:tcPr>
            <w:tcW w:w="2852"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w:t>
            </w:r>
            <w:r>
              <w:rPr>
                <w:rFonts w:hint="eastAsia" w:ascii="楷体_GB2312" w:hAnsi="宋体" w:eastAsia="楷体_GB2312"/>
                <w:sz w:val="24"/>
                <w:szCs w:val="24"/>
                <w:lang w:val="en-US" w:eastAsia="zh-CN"/>
              </w:rPr>
              <w:t>1</w:t>
            </w:r>
            <w:r>
              <w:rPr>
                <w:rFonts w:hint="eastAsia" w:ascii="楷体_GB2312" w:hAnsi="宋体" w:eastAsia="楷体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11"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2</w:t>
            </w:r>
          </w:p>
        </w:tc>
        <w:tc>
          <w:tcPr>
            <w:tcW w:w="4319"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lang w:val="en-US" w:eastAsia="zh-CN"/>
              </w:rPr>
              <w:t>0.5</w:t>
            </w:r>
            <w:r>
              <w:rPr>
                <w:rFonts w:hint="eastAsia" w:ascii="楷体_GB2312" w:hAnsi="宋体" w:eastAsia="楷体_GB2312"/>
                <w:sz w:val="24"/>
                <w:szCs w:val="24"/>
              </w:rPr>
              <w:t>～0.8</w:t>
            </w:r>
            <w:r>
              <w:rPr>
                <w:rFonts w:hint="eastAsia" w:ascii="楷体_GB2312" w:hAnsi="宋体" w:eastAsia="楷体_GB2312"/>
                <w:sz w:val="24"/>
                <w:szCs w:val="24"/>
                <w:lang w:val="en-US" w:eastAsia="zh-CN"/>
              </w:rPr>
              <w:t>5</w:t>
            </w:r>
            <w:r>
              <w:rPr>
                <w:rFonts w:hint="eastAsia" w:ascii="楷体_GB2312" w:hAnsi="宋体" w:eastAsia="楷体_GB2312"/>
                <w:sz w:val="24"/>
                <w:szCs w:val="24"/>
              </w:rPr>
              <w:t>mm</w:t>
            </w:r>
          </w:p>
        </w:tc>
        <w:tc>
          <w:tcPr>
            <w:tcW w:w="2852"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w:t>
            </w:r>
            <w:r>
              <w:rPr>
                <w:rFonts w:hint="eastAsia" w:ascii="楷体_GB2312" w:hAnsi="宋体" w:eastAsia="楷体_GB2312"/>
                <w:sz w:val="24"/>
                <w:szCs w:val="24"/>
                <w:lang w:val="en-US" w:eastAsia="zh-CN"/>
              </w:rPr>
              <w:t>42</w:t>
            </w:r>
            <w:r>
              <w:rPr>
                <w:rFonts w:hint="eastAsia" w:ascii="楷体_GB2312" w:hAnsi="宋体" w:eastAsia="楷体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11"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3</w:t>
            </w:r>
          </w:p>
        </w:tc>
        <w:tc>
          <w:tcPr>
            <w:tcW w:w="4319"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0.</w:t>
            </w:r>
            <w:r>
              <w:rPr>
                <w:rFonts w:hint="eastAsia" w:ascii="楷体_GB2312" w:hAnsi="宋体" w:eastAsia="楷体_GB2312"/>
                <w:sz w:val="24"/>
                <w:szCs w:val="24"/>
                <w:lang w:val="en-US" w:eastAsia="zh-CN"/>
              </w:rPr>
              <w:t>3</w:t>
            </w:r>
            <w:r>
              <w:rPr>
                <w:rFonts w:hint="eastAsia" w:ascii="楷体_GB2312" w:hAnsi="宋体" w:eastAsia="楷体_GB2312"/>
                <w:sz w:val="24"/>
                <w:szCs w:val="24"/>
              </w:rPr>
              <w:t>～0.</w:t>
            </w:r>
            <w:r>
              <w:rPr>
                <w:rFonts w:hint="eastAsia" w:ascii="楷体_GB2312" w:hAnsi="宋体" w:eastAsia="楷体_GB2312"/>
                <w:sz w:val="24"/>
                <w:szCs w:val="24"/>
                <w:lang w:val="en-US" w:eastAsia="zh-CN"/>
              </w:rPr>
              <w:t>5</w:t>
            </w:r>
            <w:r>
              <w:rPr>
                <w:rFonts w:hint="eastAsia" w:ascii="楷体_GB2312" w:hAnsi="宋体" w:eastAsia="楷体_GB2312"/>
                <w:sz w:val="24"/>
                <w:szCs w:val="24"/>
              </w:rPr>
              <w:t>mm</w:t>
            </w:r>
          </w:p>
        </w:tc>
        <w:tc>
          <w:tcPr>
            <w:tcW w:w="2852"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w:t>
            </w:r>
            <w:r>
              <w:rPr>
                <w:rFonts w:hint="eastAsia" w:ascii="楷体_GB2312" w:hAnsi="宋体" w:eastAsia="楷体_GB2312"/>
                <w:sz w:val="24"/>
                <w:szCs w:val="24"/>
                <w:lang w:val="en-US" w:eastAsia="zh-CN"/>
              </w:rPr>
              <w:t>40</w:t>
            </w:r>
            <w:r>
              <w:rPr>
                <w:rFonts w:hint="eastAsia" w:ascii="楷体_GB2312" w:hAnsi="宋体" w:eastAsia="楷体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611"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4</w:t>
            </w:r>
          </w:p>
        </w:tc>
        <w:tc>
          <w:tcPr>
            <w:tcW w:w="4319"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＜0.</w:t>
            </w:r>
            <w:r>
              <w:rPr>
                <w:rFonts w:hint="eastAsia" w:ascii="楷体_GB2312" w:hAnsi="宋体" w:eastAsia="楷体_GB2312"/>
                <w:sz w:val="24"/>
                <w:szCs w:val="24"/>
                <w:lang w:val="en-US" w:eastAsia="zh-CN"/>
              </w:rPr>
              <w:t>3</w:t>
            </w:r>
            <w:r>
              <w:rPr>
                <w:rFonts w:hint="eastAsia" w:ascii="楷体_GB2312" w:hAnsi="宋体" w:eastAsia="楷体_GB2312"/>
                <w:sz w:val="24"/>
                <w:szCs w:val="24"/>
              </w:rPr>
              <w:t>mm</w:t>
            </w:r>
          </w:p>
        </w:tc>
        <w:tc>
          <w:tcPr>
            <w:tcW w:w="2852" w:type="dxa"/>
            <w:noWrap w:val="0"/>
            <w:vAlign w:val="bottom"/>
          </w:tcPr>
          <w:p>
            <w:pPr>
              <w:adjustRightInd w:val="0"/>
              <w:snapToGrid w:val="0"/>
              <w:spacing w:line="360" w:lineRule="auto"/>
              <w:ind w:left="0" w:leftChars="0"/>
              <w:jc w:val="center"/>
              <w:outlineLvl w:val="0"/>
              <w:rPr>
                <w:rFonts w:hint="eastAsia" w:ascii="楷体_GB2312" w:hAnsi="宋体" w:eastAsia="楷体_GB2312"/>
                <w:sz w:val="24"/>
                <w:szCs w:val="24"/>
              </w:rPr>
            </w:pPr>
            <w:r>
              <w:rPr>
                <w:rFonts w:hint="eastAsia" w:ascii="楷体_GB2312" w:hAnsi="宋体" w:eastAsia="楷体_GB2312"/>
                <w:sz w:val="24"/>
                <w:szCs w:val="24"/>
              </w:rPr>
              <w:t>～</w:t>
            </w:r>
            <w:r>
              <w:rPr>
                <w:rFonts w:hint="eastAsia" w:ascii="楷体_GB2312" w:hAnsi="宋体" w:eastAsia="楷体_GB2312"/>
                <w:sz w:val="24"/>
                <w:szCs w:val="24"/>
                <w:lang w:val="en-US" w:eastAsia="zh-CN"/>
              </w:rPr>
              <w:t>17</w:t>
            </w:r>
            <w:r>
              <w:rPr>
                <w:rFonts w:hint="eastAsia" w:ascii="楷体_GB2312" w:hAnsi="宋体" w:eastAsia="楷体_GB2312"/>
                <w:sz w:val="24"/>
                <w:szCs w:val="24"/>
              </w:rPr>
              <w:t>%</w:t>
            </w:r>
          </w:p>
        </w:tc>
      </w:tr>
      <w:bookmarkEnd w:id="16"/>
      <w:bookmarkEnd w:id="17"/>
    </w:tbl>
    <w:p>
      <w:pPr>
        <w:keepNext/>
        <w:spacing w:before="312" w:beforeLines="100" w:after="156" w:afterLines="50"/>
        <w:jc w:val="left"/>
        <w:outlineLvl w:val="1"/>
        <w:rPr>
          <w:rFonts w:ascii="黑体" w:hAnsi="宋体" w:eastAsia="黑体" w:cs="Arial"/>
          <w:b/>
          <w:bCs w:val="0"/>
          <w:sz w:val="28"/>
          <w:szCs w:val="28"/>
        </w:rPr>
      </w:pPr>
      <w:bookmarkStart w:id="18" w:name="_Toc287280873"/>
      <w:bookmarkStart w:id="19" w:name="_Toc463657506"/>
      <w:bookmarkStart w:id="20" w:name="_Toc462415859"/>
      <w:bookmarkStart w:id="21" w:name="_Toc178652596"/>
      <w:bookmarkStart w:id="22" w:name="_Toc511026275"/>
      <w:bookmarkStart w:id="23" w:name="_Toc444805479"/>
      <w:r>
        <w:rPr>
          <w:rFonts w:hint="eastAsia" w:ascii="黑体" w:hAnsi="宋体" w:eastAsia="黑体" w:cs="Arial"/>
          <w:b/>
          <w:bCs w:val="0"/>
          <w:sz w:val="28"/>
          <w:szCs w:val="28"/>
          <w:lang w:val="en-US" w:eastAsia="zh-CN"/>
        </w:rPr>
        <w:t>3.</w:t>
      </w:r>
      <w:r>
        <w:rPr>
          <w:rFonts w:ascii="黑体" w:hAnsi="宋体" w:eastAsia="黑体" w:cs="Arial"/>
          <w:b/>
          <w:bCs w:val="0"/>
          <w:sz w:val="28"/>
          <w:szCs w:val="28"/>
        </w:rPr>
        <w:t>供货范围</w:t>
      </w:r>
      <w:bookmarkEnd w:id="18"/>
      <w:bookmarkEnd w:id="19"/>
      <w:bookmarkEnd w:id="20"/>
    </w:p>
    <w:p>
      <w:pPr>
        <w:spacing w:line="360" w:lineRule="auto"/>
        <w:ind w:right="-2" w:firstLine="480" w:firstLineChars="200"/>
        <w:jc w:val="left"/>
        <w:rPr>
          <w:rFonts w:ascii="宋体" w:hAnsi="宋体"/>
          <w:color w:val="000000"/>
          <w:sz w:val="24"/>
        </w:rPr>
      </w:pPr>
      <w:r>
        <w:rPr>
          <w:rFonts w:hint="eastAsia"/>
          <w:sz w:val="24"/>
        </w:rPr>
        <w:t>湖南省湘澧盐化有限责任公司</w:t>
      </w:r>
      <w:r>
        <w:rPr>
          <w:rFonts w:hint="eastAsia"/>
          <w:sz w:val="24"/>
          <w:lang w:val="en-US" w:eastAsia="zh-CN"/>
        </w:rPr>
        <w:t>生态盐分级分筛建设项目平面回旋筛</w:t>
      </w:r>
      <w:r>
        <w:rPr>
          <w:rFonts w:hint="eastAsia"/>
          <w:sz w:val="24"/>
          <w:szCs w:val="24"/>
          <w:lang w:val="en-US" w:eastAsia="zh-CN"/>
        </w:rPr>
        <w:t>相关设备采购、设备操作平台的</w:t>
      </w:r>
      <w:r>
        <w:rPr>
          <w:rFonts w:hint="eastAsia"/>
          <w:sz w:val="24"/>
        </w:rPr>
        <w:t>制作</w:t>
      </w:r>
      <w:r>
        <w:rPr>
          <w:rFonts w:hint="eastAsia"/>
          <w:sz w:val="24"/>
          <w:lang w:val="en-US" w:eastAsia="zh-CN"/>
        </w:rPr>
        <w:t>和</w:t>
      </w:r>
      <w:r>
        <w:rPr>
          <w:rFonts w:hint="eastAsia"/>
          <w:sz w:val="24"/>
        </w:rPr>
        <w:t>安装。</w:t>
      </w:r>
    </w:p>
    <w:p>
      <w:pPr>
        <w:spacing w:line="360" w:lineRule="auto"/>
        <w:ind w:leftChars="100"/>
        <w:rPr>
          <w:rFonts w:ascii="宋体" w:hAnsi="宋体" w:cs="Arial"/>
          <w:sz w:val="24"/>
        </w:rPr>
      </w:pPr>
      <w:r>
        <w:rPr>
          <w:rFonts w:hint="eastAsia" w:ascii="宋体" w:hAnsi="宋体" w:cs="Arial"/>
          <w:sz w:val="24"/>
        </w:rPr>
        <w:t>详细设备供货清单:</w:t>
      </w:r>
    </w:p>
    <w:tbl>
      <w:tblPr>
        <w:tblStyle w:val="15"/>
        <w:tblW w:w="5010" w:type="pct"/>
        <w:tblInd w:w="120" w:type="dxa"/>
        <w:tblLayout w:type="autofit"/>
        <w:tblCellMar>
          <w:top w:w="0" w:type="dxa"/>
          <w:left w:w="108" w:type="dxa"/>
          <w:bottom w:w="0" w:type="dxa"/>
          <w:right w:w="108" w:type="dxa"/>
        </w:tblCellMar>
      </w:tblPr>
      <w:tblGrid>
        <w:gridCol w:w="660"/>
        <w:gridCol w:w="2175"/>
        <w:gridCol w:w="1679"/>
        <w:gridCol w:w="716"/>
        <w:gridCol w:w="689"/>
        <w:gridCol w:w="663"/>
        <w:gridCol w:w="1130"/>
        <w:gridCol w:w="1593"/>
      </w:tblGrid>
      <w:tr>
        <w:tblPrEx>
          <w:tblCellMar>
            <w:top w:w="0" w:type="dxa"/>
            <w:left w:w="108" w:type="dxa"/>
            <w:bottom w:w="0" w:type="dxa"/>
            <w:right w:w="108" w:type="dxa"/>
          </w:tblCellMar>
        </w:tblPrEx>
        <w:trPr>
          <w:trHeight w:val="705" w:hRule="atLeast"/>
        </w:trPr>
        <w:tc>
          <w:tcPr>
            <w:tcW w:w="5000" w:type="pct"/>
            <w:gridSpan w:val="8"/>
            <w:tcBorders>
              <w:top w:val="single" w:color="auto" w:sz="4" w:space="0"/>
              <w:left w:val="single" w:color="auto" w:sz="8" w:space="0"/>
              <w:bottom w:val="single" w:color="auto" w:sz="4" w:space="0"/>
              <w:right w:val="single" w:color="000000" w:sz="8" w:space="0"/>
            </w:tcBorders>
            <w:noWrap/>
            <w:vAlign w:val="bottom"/>
          </w:tcPr>
          <w:p>
            <w:pPr>
              <w:spacing w:line="360" w:lineRule="auto"/>
              <w:jc w:val="center"/>
              <w:rPr>
                <w:rFonts w:hint="default" w:ascii="宋体" w:hAnsi="宋体" w:cs="宋体"/>
                <w:b/>
                <w:bCs/>
                <w:color w:val="000000"/>
                <w:kern w:val="0"/>
                <w:sz w:val="20"/>
                <w:szCs w:val="20"/>
                <w:lang w:val="en-US"/>
              </w:rPr>
            </w:pPr>
            <w:r>
              <w:rPr>
                <w:rFonts w:hint="eastAsia" w:ascii="宋体" w:hAnsi="宋体" w:cs="宋体"/>
                <w:b/>
                <w:bCs/>
                <w:color w:val="000000"/>
                <w:kern w:val="0"/>
                <w:sz w:val="24"/>
                <w:szCs w:val="24"/>
              </w:rPr>
              <w:t>湖南省湘澧盐化有限责任公司</w:t>
            </w:r>
            <w:r>
              <w:rPr>
                <w:rFonts w:hint="eastAsia" w:ascii="宋体" w:hAnsi="宋体" w:cs="宋体"/>
                <w:b/>
                <w:bCs/>
                <w:color w:val="000000"/>
                <w:kern w:val="0"/>
                <w:sz w:val="24"/>
                <w:szCs w:val="24"/>
                <w:lang w:val="en-US" w:eastAsia="zh-CN"/>
              </w:rPr>
              <w:t>生态盐分级分筛</w:t>
            </w:r>
            <w:r>
              <w:rPr>
                <w:rFonts w:hint="eastAsia" w:ascii="宋体" w:hAnsi="宋体" w:cs="宋体"/>
                <w:b/>
                <w:bCs/>
                <w:color w:val="000000"/>
                <w:kern w:val="0"/>
                <w:sz w:val="24"/>
                <w:szCs w:val="24"/>
              </w:rPr>
              <w:t>项目</w:t>
            </w:r>
            <w:r>
              <w:rPr>
                <w:rFonts w:hint="eastAsia" w:ascii="宋体" w:hAnsi="宋体" w:cs="宋体"/>
                <w:b/>
                <w:bCs/>
                <w:color w:val="000000"/>
                <w:kern w:val="0"/>
                <w:sz w:val="24"/>
                <w:szCs w:val="24"/>
                <w:lang w:val="en-US" w:eastAsia="zh-CN"/>
              </w:rPr>
              <w:t>平面摇摆筛采购</w:t>
            </w:r>
          </w:p>
        </w:tc>
      </w:tr>
      <w:tr>
        <w:tblPrEx>
          <w:tblCellMar>
            <w:top w:w="0" w:type="dxa"/>
            <w:left w:w="108" w:type="dxa"/>
            <w:bottom w:w="0" w:type="dxa"/>
            <w:right w:w="108" w:type="dxa"/>
          </w:tblCellMar>
        </w:tblPrEx>
        <w:trPr>
          <w:trHeight w:val="507" w:hRule="atLeast"/>
        </w:trPr>
        <w:tc>
          <w:tcPr>
            <w:tcW w:w="5000" w:type="pct"/>
            <w:gridSpan w:val="8"/>
            <w:tcBorders>
              <w:top w:val="single" w:color="auto" w:sz="8" w:space="0"/>
              <w:left w:val="single" w:color="auto" w:sz="8" w:space="0"/>
              <w:bottom w:val="single" w:color="auto" w:sz="4" w:space="0"/>
              <w:right w:val="single" w:color="auto" w:sz="8" w:space="0"/>
            </w:tcBorders>
            <w:noWrap w:val="0"/>
            <w:vAlign w:val="bottom"/>
          </w:tcPr>
          <w:p>
            <w:pPr>
              <w:spacing w:line="360" w:lineRule="auto"/>
              <w:jc w:val="center"/>
              <w:rPr>
                <w:rFonts w:hint="eastAsia" w:ascii="宋体" w:hAnsi="宋体" w:cs="宋体"/>
                <w:b/>
                <w:bCs/>
                <w:color w:val="000000"/>
                <w:kern w:val="0"/>
                <w:sz w:val="20"/>
                <w:szCs w:val="20"/>
              </w:rPr>
            </w:pPr>
            <w:r>
              <w:rPr>
                <w:rFonts w:hint="eastAsia" w:ascii="宋体" w:hAnsi="宋体" w:cs="宋体"/>
                <w:b/>
                <w:bCs/>
                <w:color w:val="000000"/>
                <w:kern w:val="0"/>
                <w:sz w:val="22"/>
                <w:szCs w:val="22"/>
              </w:rPr>
              <w:t>乙方供货范围</w:t>
            </w:r>
          </w:p>
        </w:tc>
      </w:tr>
      <w:tr>
        <w:tblPrEx>
          <w:tblCellMar>
            <w:top w:w="0" w:type="dxa"/>
            <w:left w:w="108" w:type="dxa"/>
            <w:bottom w:w="0" w:type="dxa"/>
            <w:right w:w="108" w:type="dxa"/>
          </w:tblCellMar>
        </w:tblPrEx>
        <w:trPr>
          <w:trHeight w:val="380" w:hRule="atLeast"/>
        </w:trPr>
        <w:tc>
          <w:tcPr>
            <w:tcW w:w="355" w:type="pct"/>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169"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设备名称</w:t>
            </w:r>
          </w:p>
        </w:tc>
        <w:tc>
          <w:tcPr>
            <w:tcW w:w="902"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规格型号</w:t>
            </w:r>
          </w:p>
        </w:tc>
        <w:tc>
          <w:tcPr>
            <w:tcW w:w="385"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材质</w:t>
            </w:r>
          </w:p>
        </w:tc>
        <w:tc>
          <w:tcPr>
            <w:tcW w:w="370"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单位</w:t>
            </w:r>
          </w:p>
        </w:tc>
        <w:tc>
          <w:tcPr>
            <w:tcW w:w="356"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数量</w:t>
            </w:r>
          </w:p>
        </w:tc>
        <w:tc>
          <w:tcPr>
            <w:tcW w:w="607" w:type="pct"/>
            <w:tcBorders>
              <w:top w:val="single" w:color="auto" w:sz="8" w:space="0"/>
              <w:left w:val="nil"/>
              <w:bottom w:val="single" w:color="auto" w:sz="4" w:space="0"/>
              <w:right w:val="single" w:color="auto" w:sz="4"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供货品牌</w:t>
            </w:r>
          </w:p>
        </w:tc>
        <w:tc>
          <w:tcPr>
            <w:tcW w:w="852" w:type="pct"/>
            <w:tcBorders>
              <w:top w:val="single" w:color="auto" w:sz="8" w:space="0"/>
              <w:left w:val="nil"/>
              <w:bottom w:val="single" w:color="auto" w:sz="4" w:space="0"/>
              <w:right w:val="single" w:color="auto" w:sz="8" w:space="0"/>
            </w:tcBorders>
            <w:noWrap w:val="0"/>
            <w:vAlign w:val="center"/>
          </w:tcPr>
          <w:p>
            <w:pPr>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备注</w:t>
            </w:r>
          </w:p>
        </w:tc>
      </w:tr>
      <w:tr>
        <w:tblPrEx>
          <w:tblCellMar>
            <w:top w:w="0" w:type="dxa"/>
            <w:left w:w="108" w:type="dxa"/>
            <w:bottom w:w="0" w:type="dxa"/>
            <w:right w:w="108" w:type="dxa"/>
          </w:tblCellMar>
        </w:tblPrEx>
        <w:trPr>
          <w:trHeight w:val="578" w:hRule="atLeast"/>
        </w:trPr>
        <w:tc>
          <w:tcPr>
            <w:tcW w:w="355"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169" w:type="pct"/>
            <w:tcBorders>
              <w:top w:val="nil"/>
              <w:left w:val="nil"/>
              <w:bottom w:val="single" w:color="auto" w:sz="4" w:space="0"/>
              <w:right w:val="single" w:color="auto" w:sz="4" w:space="0"/>
            </w:tcBorders>
            <w:noWrap w:val="0"/>
            <w:vAlign w:val="bottom"/>
          </w:tcPr>
          <w:p>
            <w:pPr>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平面回旋筛</w:t>
            </w:r>
          </w:p>
        </w:tc>
        <w:tc>
          <w:tcPr>
            <w:tcW w:w="902" w:type="pct"/>
            <w:tcBorders>
              <w:top w:val="nil"/>
              <w:left w:val="nil"/>
              <w:bottom w:val="single" w:color="auto" w:sz="4" w:space="0"/>
              <w:right w:val="single" w:color="auto" w:sz="4" w:space="0"/>
            </w:tcBorders>
            <w:noWrap w:val="0"/>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18t/h</w:t>
            </w:r>
          </w:p>
        </w:tc>
        <w:tc>
          <w:tcPr>
            <w:tcW w:w="38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16</w:t>
            </w:r>
            <w:r>
              <w:rPr>
                <w:rFonts w:hint="eastAsia" w:ascii="宋体" w:hAnsi="宋体" w:cs="宋体"/>
                <w:color w:val="000000"/>
                <w:kern w:val="0"/>
                <w:szCs w:val="21"/>
              </w:rPr>
              <w:t>L</w:t>
            </w:r>
          </w:p>
        </w:tc>
        <w:tc>
          <w:tcPr>
            <w:tcW w:w="37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35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607" w:type="pct"/>
            <w:tcBorders>
              <w:top w:val="nil"/>
              <w:left w:val="nil"/>
              <w:bottom w:val="single" w:color="auto" w:sz="4" w:space="0"/>
              <w:right w:val="single" w:color="auto" w:sz="4" w:space="0"/>
            </w:tcBorders>
            <w:noWrap w:val="0"/>
            <w:vAlign w:val="center"/>
          </w:tcPr>
          <w:p>
            <w:pPr>
              <w:spacing w:line="360" w:lineRule="auto"/>
              <w:jc w:val="both"/>
              <w:rPr>
                <w:rFonts w:hint="default" w:ascii="宋体" w:hAnsi="宋体" w:eastAsia="宋体" w:cs="宋体"/>
                <w:color w:val="000000"/>
                <w:kern w:val="0"/>
                <w:szCs w:val="21"/>
                <w:lang w:val="en-US" w:eastAsia="zh-CN"/>
              </w:rPr>
            </w:pPr>
          </w:p>
        </w:tc>
        <w:tc>
          <w:tcPr>
            <w:tcW w:w="852" w:type="pct"/>
            <w:tcBorders>
              <w:top w:val="nil"/>
              <w:left w:val="nil"/>
              <w:bottom w:val="single" w:color="auto" w:sz="4" w:space="0"/>
              <w:right w:val="single" w:color="auto" w:sz="8" w:space="0"/>
            </w:tcBorders>
            <w:noWrap w:val="0"/>
            <w:vAlign w:val="top"/>
          </w:tcPr>
          <w:p>
            <w:pPr>
              <w:spacing w:line="360" w:lineRule="auto"/>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537" w:hRule="atLeast"/>
        </w:trPr>
        <w:tc>
          <w:tcPr>
            <w:tcW w:w="355"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1169" w:type="pct"/>
            <w:tcBorders>
              <w:top w:val="nil"/>
              <w:left w:val="nil"/>
              <w:bottom w:val="single" w:color="auto" w:sz="4" w:space="0"/>
              <w:right w:val="single" w:color="auto" w:sz="4" w:space="0"/>
            </w:tcBorders>
            <w:noWrap w:val="0"/>
            <w:vAlign w:val="bottom"/>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lang w:val="en-US" w:eastAsia="zh-CN"/>
              </w:rPr>
              <w:t>平面回旋筛</w:t>
            </w:r>
          </w:p>
        </w:tc>
        <w:tc>
          <w:tcPr>
            <w:tcW w:w="902" w:type="pct"/>
            <w:tcBorders>
              <w:top w:val="nil"/>
              <w:left w:val="nil"/>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lang w:val="en-US" w:eastAsia="zh-CN"/>
              </w:rPr>
              <w:t>8t/h</w:t>
            </w:r>
          </w:p>
        </w:tc>
        <w:tc>
          <w:tcPr>
            <w:tcW w:w="385"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16</w:t>
            </w:r>
            <w:r>
              <w:rPr>
                <w:rFonts w:hint="eastAsia" w:ascii="宋体" w:hAnsi="宋体" w:cs="宋体"/>
                <w:color w:val="000000"/>
                <w:kern w:val="0"/>
                <w:szCs w:val="21"/>
              </w:rPr>
              <w:t>L</w:t>
            </w:r>
          </w:p>
        </w:tc>
        <w:tc>
          <w:tcPr>
            <w:tcW w:w="37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35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p>
        </w:tc>
        <w:tc>
          <w:tcPr>
            <w:tcW w:w="607" w:type="pct"/>
            <w:tcBorders>
              <w:top w:val="nil"/>
              <w:left w:val="nil"/>
              <w:bottom w:val="single" w:color="auto" w:sz="4" w:space="0"/>
              <w:right w:val="single" w:color="auto" w:sz="4" w:space="0"/>
            </w:tcBorders>
            <w:noWrap w:val="0"/>
            <w:vAlign w:val="center"/>
          </w:tcPr>
          <w:p>
            <w:pPr>
              <w:spacing w:line="360" w:lineRule="auto"/>
              <w:jc w:val="both"/>
              <w:rPr>
                <w:rFonts w:hint="default" w:ascii="宋体" w:hAnsi="宋体" w:eastAsia="宋体" w:cs="宋体"/>
                <w:color w:val="000000"/>
                <w:kern w:val="0"/>
                <w:szCs w:val="21"/>
                <w:lang w:val="en-US" w:eastAsia="zh-CN"/>
              </w:rPr>
            </w:pPr>
          </w:p>
        </w:tc>
        <w:tc>
          <w:tcPr>
            <w:tcW w:w="852" w:type="pct"/>
            <w:tcBorders>
              <w:top w:val="nil"/>
              <w:left w:val="nil"/>
              <w:bottom w:val="single" w:color="auto" w:sz="4" w:space="0"/>
              <w:right w:val="single" w:color="auto" w:sz="8" w:space="0"/>
            </w:tcBorders>
            <w:noWrap w:val="0"/>
            <w:vAlign w:val="top"/>
          </w:tcPr>
          <w:p>
            <w:pPr>
              <w:spacing w:line="360" w:lineRule="auto"/>
              <w:rPr>
                <w:rFonts w:hint="eastAsia" w:ascii="宋体" w:hAnsi="宋体" w:eastAsia="宋体" w:cs="宋体"/>
                <w:color w:val="000000"/>
                <w:kern w:val="0"/>
                <w:szCs w:val="21"/>
                <w:lang w:eastAsia="zh-CN"/>
              </w:rPr>
            </w:pPr>
          </w:p>
        </w:tc>
      </w:tr>
      <w:tr>
        <w:tblPrEx>
          <w:tblCellMar>
            <w:top w:w="0" w:type="dxa"/>
            <w:left w:w="108" w:type="dxa"/>
            <w:bottom w:w="0" w:type="dxa"/>
            <w:right w:w="108" w:type="dxa"/>
          </w:tblCellMar>
        </w:tblPrEx>
        <w:trPr>
          <w:trHeight w:val="504" w:hRule="atLeast"/>
        </w:trPr>
        <w:tc>
          <w:tcPr>
            <w:tcW w:w="355" w:type="pct"/>
            <w:tcBorders>
              <w:top w:val="nil"/>
              <w:left w:val="single" w:color="auto" w:sz="8" w:space="0"/>
              <w:bottom w:val="single" w:color="auto" w:sz="4"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169" w:type="pct"/>
            <w:tcBorders>
              <w:top w:val="nil"/>
              <w:left w:val="nil"/>
              <w:bottom w:val="single" w:color="auto" w:sz="4" w:space="0"/>
              <w:right w:val="single" w:color="auto" w:sz="4" w:space="0"/>
            </w:tcBorders>
            <w:noWrap w:val="0"/>
            <w:vAlign w:val="bottom"/>
          </w:tcPr>
          <w:p>
            <w:pPr>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操作平台</w:t>
            </w:r>
          </w:p>
        </w:tc>
        <w:tc>
          <w:tcPr>
            <w:tcW w:w="902" w:type="pct"/>
            <w:tcBorders>
              <w:top w:val="nil"/>
              <w:left w:val="nil"/>
              <w:bottom w:val="single" w:color="auto" w:sz="4" w:space="0"/>
              <w:right w:val="single" w:color="auto" w:sz="4" w:space="0"/>
            </w:tcBorders>
            <w:noWrap w:val="0"/>
            <w:vAlign w:val="center"/>
          </w:tcPr>
          <w:p>
            <w:pPr>
              <w:jc w:val="center"/>
              <w:rPr>
                <w:rFonts w:hint="eastAsia" w:ascii="宋体" w:hAnsi="宋体"/>
                <w:color w:val="FF0000"/>
                <w:szCs w:val="21"/>
              </w:rPr>
            </w:pPr>
          </w:p>
        </w:tc>
        <w:tc>
          <w:tcPr>
            <w:tcW w:w="385" w:type="pct"/>
            <w:tcBorders>
              <w:top w:val="nil"/>
              <w:left w:val="nil"/>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304</w:t>
            </w:r>
          </w:p>
        </w:tc>
        <w:tc>
          <w:tcPr>
            <w:tcW w:w="370"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件</w:t>
            </w:r>
          </w:p>
        </w:tc>
        <w:tc>
          <w:tcPr>
            <w:tcW w:w="356"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607" w:type="pc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p>
        </w:tc>
        <w:tc>
          <w:tcPr>
            <w:tcW w:w="852" w:type="pct"/>
            <w:tcBorders>
              <w:top w:val="nil"/>
              <w:left w:val="nil"/>
              <w:bottom w:val="single" w:color="auto" w:sz="4" w:space="0"/>
              <w:right w:val="single" w:color="auto" w:sz="8" w:space="0"/>
            </w:tcBorders>
            <w:noWrap w:val="0"/>
            <w:vAlign w:val="top"/>
          </w:tcPr>
          <w:p>
            <w:pPr>
              <w:spacing w:line="360" w:lineRule="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497" w:hRule="atLeast"/>
        </w:trPr>
        <w:tc>
          <w:tcPr>
            <w:tcW w:w="355" w:type="pct"/>
            <w:tcBorders>
              <w:top w:val="nil"/>
              <w:left w:val="single" w:color="auto" w:sz="8" w:space="0"/>
              <w:bottom w:val="single" w:color="auto" w:sz="2" w:space="0"/>
              <w:right w:val="single" w:color="auto" w:sz="4" w:space="0"/>
            </w:tcBorders>
            <w:noWrap w:val="0"/>
            <w:vAlign w:val="bottom"/>
          </w:tcPr>
          <w:p>
            <w:pPr>
              <w:numPr>
                <w:ilvl w:val="0"/>
                <w:numId w:val="0"/>
              </w:numPr>
              <w:spacing w:line="360" w:lineRule="auto"/>
              <w:ind w:left="420" w:leftChars="0" w:hanging="420" w:firstLineChars="0"/>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4</w:t>
            </w:r>
          </w:p>
        </w:tc>
        <w:tc>
          <w:tcPr>
            <w:tcW w:w="1169" w:type="pct"/>
            <w:tcBorders>
              <w:top w:val="nil"/>
              <w:left w:val="nil"/>
              <w:bottom w:val="single" w:color="auto" w:sz="2" w:space="0"/>
              <w:right w:val="single" w:color="auto" w:sz="4" w:space="0"/>
            </w:tcBorders>
            <w:noWrap w:val="0"/>
            <w:vAlign w:val="bottom"/>
          </w:tcPr>
          <w:p>
            <w:pPr>
              <w:spacing w:line="360"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板链斗式提升机</w:t>
            </w:r>
          </w:p>
        </w:tc>
        <w:tc>
          <w:tcPr>
            <w:tcW w:w="902" w:type="pct"/>
            <w:tcBorders>
              <w:top w:val="nil"/>
              <w:left w:val="nil"/>
              <w:bottom w:val="single" w:color="auto" w:sz="2" w:space="0"/>
              <w:right w:val="single" w:color="auto" w:sz="4" w:space="0"/>
            </w:tcBorders>
            <w:noWrap w:val="0"/>
            <w:vAlign w:val="center"/>
          </w:tcPr>
          <w:p>
            <w:pPr>
              <w:jc w:val="center"/>
              <w:rPr>
                <w:rFonts w:ascii="宋体" w:hAnsi="宋体" w:eastAsia="宋体" w:cs="宋体"/>
                <w:color w:val="FF0000"/>
                <w:kern w:val="2"/>
                <w:sz w:val="21"/>
                <w:szCs w:val="21"/>
                <w:lang w:val="en-US" w:eastAsia="zh-CN" w:bidi="ar-SA"/>
              </w:rPr>
            </w:pPr>
            <w:r>
              <w:rPr>
                <w:rFonts w:hint="eastAsia" w:ascii="宋体" w:hAnsi="宋体"/>
                <w:color w:val="000000"/>
                <w:sz w:val="21"/>
                <w:szCs w:val="21"/>
                <w:lang w:val="en-US" w:eastAsia="zh-CN"/>
              </w:rPr>
              <w:t>NE15 H=11000mm</w:t>
            </w:r>
          </w:p>
        </w:tc>
        <w:tc>
          <w:tcPr>
            <w:tcW w:w="385" w:type="pct"/>
            <w:tcBorders>
              <w:top w:val="nil"/>
              <w:left w:val="nil"/>
              <w:bottom w:val="single" w:color="auto" w:sz="2" w:space="0"/>
              <w:right w:val="single" w:color="auto" w:sz="4" w:space="0"/>
            </w:tcBorders>
            <w:noWrap w:val="0"/>
            <w:vAlign w:val="bottom"/>
          </w:tcPr>
          <w:p>
            <w:pPr>
              <w:spacing w:line="360"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316L</w:t>
            </w:r>
          </w:p>
        </w:tc>
        <w:tc>
          <w:tcPr>
            <w:tcW w:w="370" w:type="pct"/>
            <w:tcBorders>
              <w:top w:val="nil"/>
              <w:left w:val="nil"/>
              <w:bottom w:val="single" w:color="auto" w:sz="2" w:space="0"/>
              <w:right w:val="single" w:color="auto" w:sz="4" w:space="0"/>
            </w:tcBorders>
            <w:noWrap w:val="0"/>
            <w:vAlign w:val="bottom"/>
          </w:tcPr>
          <w:p>
            <w:pPr>
              <w:spacing w:line="360"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台</w:t>
            </w:r>
          </w:p>
        </w:tc>
        <w:tc>
          <w:tcPr>
            <w:tcW w:w="356" w:type="pct"/>
            <w:tcBorders>
              <w:top w:val="nil"/>
              <w:left w:val="nil"/>
              <w:bottom w:val="single" w:color="auto" w:sz="2" w:space="0"/>
              <w:right w:val="single" w:color="auto" w:sz="4" w:space="0"/>
            </w:tcBorders>
            <w:noWrap w:val="0"/>
            <w:vAlign w:val="bottom"/>
          </w:tcPr>
          <w:p>
            <w:pPr>
              <w:spacing w:line="360" w:lineRule="auto"/>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w:t>
            </w:r>
          </w:p>
        </w:tc>
        <w:tc>
          <w:tcPr>
            <w:tcW w:w="607" w:type="pct"/>
            <w:tcBorders>
              <w:top w:val="nil"/>
              <w:left w:val="nil"/>
              <w:bottom w:val="single" w:color="auto" w:sz="2" w:space="0"/>
              <w:right w:val="single" w:color="auto" w:sz="4" w:space="0"/>
            </w:tcBorders>
            <w:noWrap w:val="0"/>
            <w:vAlign w:val="center"/>
          </w:tcPr>
          <w:p>
            <w:pPr>
              <w:spacing w:line="360" w:lineRule="auto"/>
              <w:jc w:val="both"/>
              <w:rPr>
                <w:rFonts w:hint="default" w:ascii="宋体" w:hAnsi="宋体" w:eastAsia="宋体" w:cs="宋体"/>
                <w:color w:val="000000"/>
                <w:kern w:val="0"/>
                <w:szCs w:val="21"/>
                <w:lang w:val="en-US" w:eastAsia="zh-CN"/>
              </w:rPr>
            </w:pPr>
          </w:p>
        </w:tc>
        <w:tc>
          <w:tcPr>
            <w:tcW w:w="852" w:type="pct"/>
            <w:tcBorders>
              <w:top w:val="nil"/>
              <w:left w:val="nil"/>
              <w:bottom w:val="single" w:color="auto" w:sz="2" w:space="0"/>
              <w:right w:val="single" w:color="auto" w:sz="8" w:space="0"/>
            </w:tcBorders>
            <w:noWrap w:val="0"/>
            <w:vAlign w:val="top"/>
          </w:tcPr>
          <w:p>
            <w:pPr>
              <w:spacing w:line="360" w:lineRule="auto"/>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606" w:hRule="atLeast"/>
        </w:trPr>
        <w:tc>
          <w:tcPr>
            <w:tcW w:w="355" w:type="pct"/>
            <w:tcBorders>
              <w:top w:val="single" w:color="auto" w:sz="2" w:space="0"/>
              <w:left w:val="single" w:color="auto" w:sz="8" w:space="0"/>
              <w:bottom w:val="single" w:color="auto" w:sz="4" w:space="0"/>
              <w:right w:val="single" w:color="auto" w:sz="2" w:space="0"/>
            </w:tcBorders>
            <w:noWrap w:val="0"/>
            <w:vAlign w:val="bottom"/>
          </w:tcPr>
          <w:p>
            <w:pPr>
              <w:numPr>
                <w:ilvl w:val="0"/>
                <w:numId w:val="0"/>
              </w:numPr>
              <w:spacing w:line="360" w:lineRule="auto"/>
              <w:ind w:leftChars="0"/>
              <w:jc w:val="center"/>
              <w:rPr>
                <w:rFonts w:hint="default" w:ascii="宋体" w:hAnsi="宋体" w:cs="宋体"/>
                <w:color w:val="000000"/>
                <w:kern w:val="0"/>
                <w:szCs w:val="21"/>
                <w:lang w:val="en-US" w:eastAsia="zh-CN"/>
              </w:rPr>
            </w:pPr>
            <w:bookmarkStart w:id="24" w:name="_Toc287280874"/>
            <w:r>
              <w:rPr>
                <w:rFonts w:hint="eastAsia" w:ascii="宋体" w:hAnsi="宋体" w:cs="宋体"/>
                <w:color w:val="000000"/>
                <w:kern w:val="0"/>
                <w:szCs w:val="21"/>
                <w:lang w:val="en-US" w:eastAsia="zh-CN"/>
              </w:rPr>
              <w:t>5</w:t>
            </w:r>
          </w:p>
        </w:tc>
        <w:tc>
          <w:tcPr>
            <w:tcW w:w="1169" w:type="pct"/>
            <w:tcBorders>
              <w:top w:val="single" w:color="auto" w:sz="2" w:space="0"/>
              <w:left w:val="single" w:color="auto" w:sz="2" w:space="0"/>
              <w:bottom w:val="single" w:color="auto" w:sz="4" w:space="0"/>
              <w:right w:val="single" w:color="auto" w:sz="2" w:space="0"/>
            </w:tcBorders>
            <w:noWrap w:val="0"/>
            <w:vAlign w:val="bottom"/>
          </w:tcPr>
          <w:p>
            <w:pPr>
              <w:spacing w:line="360"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就地控制箱及电缆</w:t>
            </w:r>
          </w:p>
        </w:tc>
        <w:tc>
          <w:tcPr>
            <w:tcW w:w="902" w:type="pct"/>
            <w:tcBorders>
              <w:top w:val="single" w:color="auto" w:sz="2" w:space="0"/>
              <w:left w:val="single" w:color="auto" w:sz="2" w:space="0"/>
              <w:bottom w:val="single" w:color="auto" w:sz="4" w:space="0"/>
              <w:right w:val="single" w:color="auto" w:sz="2" w:space="0"/>
            </w:tcBorders>
            <w:noWrap w:val="0"/>
            <w:vAlign w:val="center"/>
          </w:tcPr>
          <w:p>
            <w:pPr>
              <w:jc w:val="center"/>
              <w:rPr>
                <w:rFonts w:hint="default" w:ascii="宋体" w:hAnsi="宋体" w:eastAsia="宋体" w:cs="宋体"/>
                <w:color w:val="FF0000"/>
                <w:kern w:val="2"/>
                <w:sz w:val="21"/>
                <w:szCs w:val="21"/>
                <w:lang w:val="en-US" w:eastAsia="zh-CN" w:bidi="ar-SA"/>
              </w:rPr>
            </w:pPr>
            <w:r>
              <w:rPr>
                <w:rFonts w:hint="eastAsia" w:ascii="宋体" w:hAnsi="宋体" w:cs="宋体"/>
                <w:color w:val="auto"/>
                <w:szCs w:val="21"/>
                <w:lang w:val="en-US" w:eastAsia="zh-CN"/>
              </w:rPr>
              <w:t>IP65</w:t>
            </w:r>
          </w:p>
        </w:tc>
        <w:tc>
          <w:tcPr>
            <w:tcW w:w="385" w:type="pct"/>
            <w:tcBorders>
              <w:top w:val="single" w:color="auto" w:sz="2" w:space="0"/>
              <w:left w:val="single" w:color="auto" w:sz="2" w:space="0"/>
              <w:bottom w:val="single" w:color="auto" w:sz="4" w:space="0"/>
              <w:right w:val="single" w:color="auto" w:sz="2" w:space="0"/>
            </w:tcBorders>
            <w:noWrap w:val="0"/>
            <w:vAlign w:val="bottom"/>
          </w:tcPr>
          <w:p>
            <w:pPr>
              <w:spacing w:line="360"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316L</w:t>
            </w:r>
          </w:p>
        </w:tc>
        <w:tc>
          <w:tcPr>
            <w:tcW w:w="370" w:type="pct"/>
            <w:tcBorders>
              <w:top w:val="single" w:color="auto" w:sz="2" w:space="0"/>
              <w:left w:val="single" w:color="auto" w:sz="2" w:space="0"/>
              <w:bottom w:val="single" w:color="auto" w:sz="4" w:space="0"/>
              <w:right w:val="single" w:color="auto" w:sz="2" w:space="0"/>
            </w:tcBorders>
            <w:noWrap w:val="0"/>
            <w:vAlign w:val="bottom"/>
          </w:tcPr>
          <w:p>
            <w:pPr>
              <w:spacing w:line="360"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套</w:t>
            </w:r>
          </w:p>
        </w:tc>
        <w:tc>
          <w:tcPr>
            <w:tcW w:w="356" w:type="pct"/>
            <w:tcBorders>
              <w:top w:val="single" w:color="auto" w:sz="2" w:space="0"/>
              <w:left w:val="single" w:color="auto" w:sz="2" w:space="0"/>
              <w:bottom w:val="single" w:color="auto" w:sz="4" w:space="0"/>
              <w:right w:val="single" w:color="auto" w:sz="2" w:space="0"/>
            </w:tcBorders>
            <w:noWrap w:val="0"/>
            <w:vAlign w:val="bottom"/>
          </w:tcPr>
          <w:p>
            <w:pPr>
              <w:spacing w:line="360"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3</w:t>
            </w:r>
          </w:p>
        </w:tc>
        <w:tc>
          <w:tcPr>
            <w:tcW w:w="607" w:type="pct"/>
            <w:tcBorders>
              <w:top w:val="single" w:color="auto" w:sz="2" w:space="0"/>
              <w:left w:val="single" w:color="auto" w:sz="2" w:space="0"/>
              <w:bottom w:val="single" w:color="auto" w:sz="4" w:space="0"/>
              <w:right w:val="single" w:color="auto" w:sz="2" w:space="0"/>
            </w:tcBorders>
            <w:noWrap w:val="0"/>
            <w:vAlign w:val="center"/>
          </w:tcPr>
          <w:p>
            <w:pPr>
              <w:spacing w:line="360" w:lineRule="auto"/>
              <w:jc w:val="center"/>
              <w:rPr>
                <w:rFonts w:ascii="宋体" w:hAnsi="宋体" w:eastAsia="宋体" w:cs="宋体"/>
                <w:color w:val="000000"/>
                <w:kern w:val="0"/>
                <w:sz w:val="21"/>
                <w:szCs w:val="21"/>
                <w:lang w:val="en-US" w:eastAsia="zh-CN" w:bidi="ar-SA"/>
              </w:rPr>
            </w:pPr>
          </w:p>
        </w:tc>
        <w:tc>
          <w:tcPr>
            <w:tcW w:w="852" w:type="pct"/>
            <w:tcBorders>
              <w:top w:val="single" w:color="auto" w:sz="2" w:space="0"/>
              <w:left w:val="single" w:color="auto" w:sz="2" w:space="0"/>
              <w:bottom w:val="single" w:color="auto" w:sz="4" w:space="0"/>
              <w:right w:val="single" w:color="auto" w:sz="8" w:space="0"/>
            </w:tcBorders>
            <w:noWrap w:val="0"/>
            <w:vAlign w:val="bottom"/>
          </w:tcPr>
          <w:p>
            <w:pPr>
              <w:spacing w:line="360" w:lineRule="auto"/>
              <w:jc w:val="center"/>
              <w:rPr>
                <w:rFonts w:hint="default" w:ascii="宋体" w:hAnsi="宋体" w:eastAsia="宋体" w:cs="宋体"/>
                <w:color w:val="000000"/>
                <w:kern w:val="0"/>
                <w:szCs w:val="21"/>
                <w:lang w:val="en-US" w:eastAsia="zh-CN"/>
              </w:rPr>
            </w:pPr>
          </w:p>
        </w:tc>
      </w:tr>
    </w:tbl>
    <w:p>
      <w:pPr>
        <w:ind w:firstLine="241" w:firstLineChars="100"/>
        <w:rPr>
          <w:rFonts w:ascii="仿宋_GB2312" w:eastAsia="仿宋_GB2312"/>
          <w:sz w:val="32"/>
          <w:szCs w:val="32"/>
        </w:rPr>
      </w:pPr>
      <w:r>
        <w:rPr>
          <w:rFonts w:hint="eastAsia" w:ascii="宋体" w:hAnsi="宋体" w:cs="Arial"/>
          <w:b/>
          <w:bCs/>
          <w:sz w:val="24"/>
        </w:rPr>
        <w:t>供货范围说明：</w:t>
      </w:r>
      <w:r>
        <w:rPr>
          <w:rFonts w:hint="eastAsia" w:ascii="新宋体" w:eastAsia="新宋体"/>
          <w:b/>
          <w:w w:val="95"/>
          <w:sz w:val="24"/>
          <w:lang w:val="en-US" w:eastAsia="zh-CN"/>
        </w:rPr>
        <w:t>供货</w:t>
      </w:r>
      <w:r>
        <w:rPr>
          <w:rFonts w:hint="eastAsia" w:ascii="新宋体" w:eastAsia="新宋体"/>
          <w:b/>
          <w:w w:val="95"/>
          <w:sz w:val="24"/>
        </w:rPr>
        <w:t>包括</w:t>
      </w:r>
      <w:r>
        <w:rPr>
          <w:rFonts w:hint="eastAsia" w:ascii="新宋体" w:eastAsia="新宋体"/>
          <w:b/>
          <w:w w:val="95"/>
          <w:sz w:val="24"/>
          <w:lang w:val="en-US" w:eastAsia="zh-CN"/>
        </w:rPr>
        <w:t>与之相关的操作平台、连接料斗、就地控制箱及电气电缆等</w:t>
      </w:r>
      <w:r>
        <w:rPr>
          <w:rFonts w:hint="eastAsia" w:ascii="新宋体" w:eastAsia="新宋体"/>
          <w:b/>
          <w:spacing w:val="-19"/>
          <w:w w:val="95"/>
          <w:sz w:val="24"/>
        </w:rPr>
        <w:t>。</w:t>
      </w:r>
    </w:p>
    <w:p>
      <w:pPr>
        <w:spacing w:line="360" w:lineRule="auto"/>
        <w:rPr>
          <w:rFonts w:ascii="宋体" w:hAnsi="宋体" w:cs="Arial"/>
          <w:b/>
          <w:bCs/>
          <w:sz w:val="24"/>
        </w:rPr>
      </w:pPr>
    </w:p>
    <w:bookmarkEnd w:id="21"/>
    <w:bookmarkEnd w:id="24"/>
    <w:p/>
    <w:bookmarkEnd w:id="22"/>
    <w:bookmarkEnd w:id="23"/>
    <w:p>
      <w:pPr>
        <w:pStyle w:val="2"/>
        <w:keepLines w:val="0"/>
        <w:widowControl/>
        <w:numPr>
          <w:ilvl w:val="0"/>
          <w:numId w:val="0"/>
        </w:numPr>
        <w:tabs>
          <w:tab w:val="left" w:pos="420"/>
        </w:tabs>
        <w:spacing w:before="0" w:line="360" w:lineRule="auto"/>
        <w:ind w:leftChars="0" w:right="540" w:rightChars="0"/>
        <w:jc w:val="both"/>
        <w:rPr>
          <w:rFonts w:hint="eastAsia" w:ascii="黑体" w:hAnsi="黑体" w:eastAsia="黑体" w:cs="黑体"/>
          <w:b/>
          <w:bCs w:val="0"/>
          <w:sz w:val="28"/>
          <w:szCs w:val="28"/>
        </w:rPr>
      </w:pPr>
      <w:bookmarkStart w:id="25" w:name="_Toc224729655"/>
      <w:bookmarkStart w:id="26" w:name="_Toc241660045"/>
      <w:bookmarkStart w:id="27" w:name="_Toc287280875"/>
      <w:bookmarkStart w:id="28" w:name="_Toc444805483"/>
      <w:bookmarkStart w:id="29" w:name="_Toc464230166"/>
      <w:r>
        <w:rPr>
          <w:rFonts w:hint="eastAsia" w:ascii="黑体" w:hAnsi="黑体" w:eastAsia="黑体" w:cs="黑体"/>
          <w:b/>
          <w:bCs w:val="0"/>
          <w:sz w:val="28"/>
          <w:szCs w:val="28"/>
          <w:lang w:val="en-US" w:eastAsia="zh-CN"/>
        </w:rPr>
        <w:t>4.</w:t>
      </w:r>
      <w:r>
        <w:rPr>
          <w:rFonts w:hint="eastAsia" w:ascii="黑体" w:hAnsi="黑体" w:eastAsia="黑体" w:cs="黑体"/>
          <w:b/>
          <w:bCs w:val="0"/>
          <w:sz w:val="28"/>
          <w:szCs w:val="28"/>
        </w:rPr>
        <w:t>技术服务、培训和售后服务</w:t>
      </w:r>
      <w:bookmarkEnd w:id="25"/>
      <w:bookmarkEnd w:id="26"/>
      <w:bookmarkEnd w:id="27"/>
      <w:bookmarkEnd w:id="28"/>
      <w:bookmarkEnd w:id="29"/>
      <w:bookmarkStart w:id="30" w:name="_Toc462415861"/>
      <w:bookmarkStart w:id="31" w:name="_Toc287280876"/>
      <w:bookmarkStart w:id="32" w:name="_Toc463657508"/>
    </w:p>
    <w:p>
      <w:pPr>
        <w:pStyle w:val="2"/>
        <w:keepLines w:val="0"/>
        <w:widowControl/>
        <w:numPr>
          <w:ilvl w:val="0"/>
          <w:numId w:val="0"/>
        </w:numPr>
        <w:tabs>
          <w:tab w:val="left" w:pos="420"/>
        </w:tabs>
        <w:spacing w:before="0" w:line="360" w:lineRule="auto"/>
        <w:ind w:leftChars="0" w:right="540" w:rightChars="0"/>
        <w:jc w:val="both"/>
        <w:rPr>
          <w:rFonts w:ascii="黑体" w:hAnsi="宋体" w:eastAsia="黑体" w:cs="Arial"/>
          <w:b w:val="0"/>
          <w:bCs w:val="0"/>
          <w:sz w:val="24"/>
        </w:rPr>
      </w:pPr>
      <w:r>
        <w:rPr>
          <w:rFonts w:hint="eastAsia" w:ascii="Arial" w:hAnsi="Arial" w:eastAsia="黑体" w:cs="Arial"/>
          <w:b w:val="0"/>
          <w:bCs w:val="0"/>
          <w:sz w:val="24"/>
          <w:lang w:val="en-US" w:eastAsia="zh-CN"/>
        </w:rPr>
        <w:t xml:space="preserve">4.1 </w:t>
      </w:r>
      <w:r>
        <w:rPr>
          <w:rFonts w:hint="eastAsia" w:ascii="Arial" w:hAnsi="Arial" w:eastAsia="黑体" w:cs="Arial"/>
          <w:b w:val="0"/>
          <w:bCs w:val="0"/>
          <w:sz w:val="24"/>
        </w:rPr>
        <w:t>设计联络会</w:t>
      </w:r>
      <w:bookmarkEnd w:id="30"/>
      <w:bookmarkEnd w:id="31"/>
      <w:bookmarkEnd w:id="32"/>
    </w:p>
    <w:p>
      <w:pPr>
        <w:spacing w:line="360" w:lineRule="auto"/>
        <w:ind w:firstLine="480" w:firstLineChars="200"/>
        <w:rPr>
          <w:rFonts w:ascii="宋体" w:hAnsi="宋体" w:cs="Arial"/>
          <w:sz w:val="24"/>
        </w:rPr>
      </w:pPr>
      <w:r>
        <w:rPr>
          <w:rFonts w:hint="eastAsia" w:ascii="宋体" w:hAnsi="宋体" w:cs="Arial"/>
          <w:sz w:val="24"/>
        </w:rPr>
        <w:t>设计联络会在合同签订后，为解决设计接口问题，并对双方进行设计所需的互提技术资料、设计界线、采用的技术规程和技术标准、双方提供的图纸、资料进行讨论和确认。参加人员：项目经理，机械工程师、电气工程师。持续时间另约定。</w:t>
      </w:r>
    </w:p>
    <w:p>
      <w:pPr>
        <w:keepNext/>
        <w:spacing w:before="312" w:beforeLines="100" w:after="156" w:afterLines="50"/>
        <w:jc w:val="left"/>
        <w:outlineLvl w:val="1"/>
        <w:rPr>
          <w:rFonts w:ascii="Arial" w:hAnsi="Arial" w:eastAsia="黑体" w:cs="Arial"/>
          <w:b w:val="0"/>
          <w:bCs/>
          <w:sz w:val="24"/>
        </w:rPr>
      </w:pPr>
      <w:bookmarkStart w:id="33" w:name="_Toc224729657"/>
      <w:bookmarkStart w:id="34" w:name="_Toc241660047"/>
      <w:bookmarkStart w:id="35" w:name="_Toc287280877"/>
      <w:bookmarkStart w:id="36" w:name="_Toc463657509"/>
      <w:bookmarkStart w:id="37" w:name="_Toc462415862"/>
      <w:r>
        <w:rPr>
          <w:rFonts w:hint="eastAsia" w:ascii="Arial" w:hAnsi="Arial" w:eastAsia="黑体" w:cs="Arial"/>
          <w:b w:val="0"/>
          <w:bCs/>
          <w:sz w:val="24"/>
          <w:lang w:val="en-US" w:eastAsia="zh-CN"/>
        </w:rPr>
        <w:t>4.2</w:t>
      </w:r>
      <w:r>
        <w:rPr>
          <w:rFonts w:hint="eastAsia" w:ascii="Arial" w:hAnsi="Arial" w:eastAsia="黑体" w:cs="Arial"/>
          <w:b w:val="0"/>
          <w:bCs/>
          <w:sz w:val="24"/>
        </w:rPr>
        <w:t>安装、调试</w:t>
      </w:r>
      <w:bookmarkEnd w:id="33"/>
      <w:bookmarkEnd w:id="34"/>
      <w:bookmarkEnd w:id="35"/>
      <w:bookmarkEnd w:id="36"/>
      <w:bookmarkEnd w:id="37"/>
    </w:p>
    <w:p>
      <w:pPr>
        <w:spacing w:line="360" w:lineRule="auto"/>
        <w:ind w:firstLine="480" w:firstLineChars="200"/>
        <w:rPr>
          <w:rFonts w:ascii="宋体" w:hAnsi="宋体" w:cs="Arial"/>
          <w:sz w:val="24"/>
        </w:rPr>
      </w:pPr>
      <w:r>
        <w:rPr>
          <w:rFonts w:hint="eastAsia" w:ascii="宋体" w:hAnsi="宋体" w:cs="Arial"/>
          <w:sz w:val="24"/>
        </w:rPr>
        <w:t>1）乙方</w:t>
      </w:r>
      <w:r>
        <w:rPr>
          <w:rFonts w:hint="eastAsia" w:ascii="宋体" w:hAnsi="宋体" w:cs="Arial"/>
          <w:sz w:val="24"/>
          <w:lang w:val="en-US" w:eastAsia="zh-CN"/>
        </w:rPr>
        <w:t>负责所购设备的安装及调试</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lang w:val="en-US" w:eastAsia="zh-CN"/>
        </w:rPr>
        <w:t>2</w:t>
      </w:r>
      <w:r>
        <w:rPr>
          <w:rFonts w:hint="eastAsia" w:ascii="宋体" w:hAnsi="宋体" w:cs="Arial"/>
          <w:sz w:val="24"/>
        </w:rPr>
        <w:t>）</w:t>
      </w:r>
      <w:r>
        <w:rPr>
          <w:rFonts w:ascii="宋体" w:hAnsi="宋体" w:cs="Arial"/>
          <w:sz w:val="24"/>
        </w:rPr>
        <w:t xml:space="preserve">通常情况下，每套系统在调试期间需经过以下检查和测试： </w:t>
      </w:r>
    </w:p>
    <w:p>
      <w:pPr>
        <w:numPr>
          <w:ilvl w:val="0"/>
          <w:numId w:val="1"/>
        </w:numPr>
        <w:spacing w:line="360" w:lineRule="auto"/>
        <w:rPr>
          <w:rFonts w:ascii="宋体" w:hAnsi="宋体" w:cs="Arial"/>
          <w:sz w:val="24"/>
        </w:rPr>
      </w:pPr>
      <w:r>
        <w:rPr>
          <w:rFonts w:ascii="宋体" w:hAnsi="宋体" w:cs="Arial"/>
          <w:sz w:val="24"/>
        </w:rPr>
        <w:t xml:space="preserve">调试前检查 </w:t>
      </w:r>
    </w:p>
    <w:p>
      <w:pPr>
        <w:numPr>
          <w:ilvl w:val="0"/>
          <w:numId w:val="1"/>
        </w:numPr>
        <w:spacing w:line="360" w:lineRule="auto"/>
        <w:rPr>
          <w:rFonts w:ascii="宋体" w:hAnsi="宋体" w:cs="Arial"/>
          <w:sz w:val="24"/>
        </w:rPr>
      </w:pPr>
      <w:r>
        <w:rPr>
          <w:rFonts w:ascii="宋体" w:hAnsi="宋体" w:cs="Arial"/>
          <w:sz w:val="24"/>
        </w:rPr>
        <w:t xml:space="preserve">空负荷调试 </w:t>
      </w:r>
    </w:p>
    <w:p>
      <w:pPr>
        <w:numPr>
          <w:ilvl w:val="0"/>
          <w:numId w:val="1"/>
        </w:numPr>
        <w:spacing w:line="360" w:lineRule="auto"/>
        <w:rPr>
          <w:rFonts w:ascii="宋体" w:hAnsi="宋体" w:cs="Arial"/>
          <w:sz w:val="24"/>
        </w:rPr>
      </w:pPr>
      <w:r>
        <w:rPr>
          <w:rFonts w:ascii="宋体" w:hAnsi="宋体" w:cs="Arial"/>
          <w:sz w:val="24"/>
        </w:rPr>
        <w:t xml:space="preserve">负荷调试 </w:t>
      </w:r>
    </w:p>
    <w:p>
      <w:pPr>
        <w:numPr>
          <w:ilvl w:val="0"/>
          <w:numId w:val="1"/>
        </w:numPr>
        <w:spacing w:line="360" w:lineRule="auto"/>
        <w:rPr>
          <w:rFonts w:ascii="宋体" w:hAnsi="宋体" w:cs="Arial"/>
          <w:sz w:val="24"/>
        </w:rPr>
      </w:pPr>
      <w:r>
        <w:rPr>
          <w:rFonts w:ascii="宋体" w:hAnsi="宋体" w:cs="Arial"/>
          <w:sz w:val="24"/>
        </w:rPr>
        <w:t xml:space="preserve">运行检查 </w:t>
      </w:r>
    </w:p>
    <w:p>
      <w:pPr>
        <w:spacing w:line="360" w:lineRule="auto"/>
        <w:ind w:firstLine="480" w:firstLineChars="200"/>
        <w:rPr>
          <w:rFonts w:ascii="宋体" w:hAnsi="宋体" w:cs="Arial"/>
          <w:sz w:val="24"/>
        </w:rPr>
      </w:pPr>
      <w:r>
        <w:rPr>
          <w:rFonts w:hint="eastAsia" w:ascii="宋体" w:hAnsi="宋体" w:cs="Arial"/>
          <w:sz w:val="24"/>
          <w:lang w:val="en-US" w:eastAsia="zh-CN"/>
        </w:rPr>
        <w:t>3</w:t>
      </w:r>
      <w:r>
        <w:rPr>
          <w:rFonts w:hint="eastAsia" w:ascii="宋体" w:hAnsi="宋体" w:cs="Arial"/>
          <w:sz w:val="24"/>
        </w:rPr>
        <w:t>）</w:t>
      </w:r>
      <w:r>
        <w:rPr>
          <w:rFonts w:ascii="宋体" w:hAnsi="宋体" w:cs="Arial"/>
          <w:sz w:val="24"/>
        </w:rPr>
        <w:t>为了避免调试期间任何不必要的支出和延误，</w:t>
      </w:r>
      <w:r>
        <w:rPr>
          <w:rFonts w:hint="eastAsia" w:ascii="宋体" w:hAnsi="宋体" w:cs="Arial"/>
          <w:sz w:val="24"/>
          <w:lang w:val="en-US" w:eastAsia="zh-CN"/>
        </w:rPr>
        <w:t>甲方</w:t>
      </w:r>
      <w:r>
        <w:rPr>
          <w:rFonts w:ascii="宋体" w:hAnsi="宋体" w:cs="Arial"/>
          <w:sz w:val="24"/>
        </w:rPr>
        <w:t>须确保与调试系统有关的所有设备已经就绪，并且有足够的物料。调试期间，如果需要，</w:t>
      </w:r>
      <w:r>
        <w:rPr>
          <w:rFonts w:hint="eastAsia" w:ascii="宋体" w:hAnsi="宋体" w:cs="Arial"/>
          <w:sz w:val="24"/>
          <w:lang w:val="en-US" w:eastAsia="zh-CN"/>
        </w:rPr>
        <w:t>甲方</w:t>
      </w:r>
      <w:r>
        <w:rPr>
          <w:rFonts w:ascii="宋体" w:hAnsi="宋体" w:cs="Arial"/>
          <w:sz w:val="24"/>
        </w:rPr>
        <w:t>须派代表协助</w:t>
      </w:r>
      <w:r>
        <w:rPr>
          <w:rFonts w:hint="eastAsia" w:ascii="宋体" w:hAnsi="宋体" w:cs="Arial"/>
          <w:sz w:val="24"/>
        </w:rPr>
        <w:t>乙方</w:t>
      </w:r>
      <w:r>
        <w:rPr>
          <w:rFonts w:ascii="宋体" w:hAnsi="宋体" w:cs="Arial"/>
          <w:sz w:val="24"/>
        </w:rPr>
        <w:t xml:space="preserve">公司工程师工作。 </w:t>
      </w:r>
    </w:p>
    <w:p>
      <w:pPr>
        <w:spacing w:line="360" w:lineRule="auto"/>
        <w:ind w:firstLine="480" w:firstLineChars="200"/>
        <w:rPr>
          <w:rFonts w:ascii="宋体" w:hAnsi="宋体" w:cs="Arial"/>
          <w:sz w:val="24"/>
        </w:rPr>
      </w:pPr>
      <w:r>
        <w:rPr>
          <w:rFonts w:hint="eastAsia" w:ascii="宋体" w:hAnsi="宋体" w:cs="Arial"/>
          <w:sz w:val="24"/>
          <w:lang w:val="en-US" w:eastAsia="zh-CN"/>
        </w:rPr>
        <w:t>4</w:t>
      </w:r>
      <w:r>
        <w:rPr>
          <w:rFonts w:hint="eastAsia" w:ascii="宋体" w:hAnsi="宋体" w:cs="Arial"/>
          <w:sz w:val="24"/>
        </w:rPr>
        <w:t>）</w:t>
      </w:r>
      <w:r>
        <w:rPr>
          <w:rFonts w:ascii="宋体" w:hAnsi="宋体" w:cs="Arial"/>
          <w:sz w:val="24"/>
        </w:rPr>
        <w:t>系统调试完成和运行检验满意后，</w:t>
      </w:r>
      <w:r>
        <w:rPr>
          <w:rFonts w:hint="eastAsia" w:ascii="宋体" w:hAnsi="宋体" w:cs="Arial"/>
          <w:sz w:val="24"/>
          <w:lang w:val="en-US" w:eastAsia="zh-CN"/>
        </w:rPr>
        <w:t>甲方</w:t>
      </w:r>
      <w:r>
        <w:rPr>
          <w:rFonts w:ascii="宋体" w:hAnsi="宋体" w:cs="Arial"/>
          <w:sz w:val="24"/>
        </w:rPr>
        <w:t>签署验收合格报告表明设备已满足用户的要求。</w:t>
      </w:r>
    </w:p>
    <w:p>
      <w:pPr>
        <w:keepNext/>
        <w:spacing w:before="312" w:beforeLines="100" w:after="156" w:afterLines="50"/>
        <w:jc w:val="left"/>
        <w:outlineLvl w:val="1"/>
        <w:rPr>
          <w:rFonts w:ascii="Arial" w:hAnsi="Arial" w:eastAsia="黑体" w:cs="Arial"/>
          <w:bCs/>
          <w:sz w:val="24"/>
        </w:rPr>
      </w:pPr>
      <w:bookmarkStart w:id="38" w:name="_Toc463657510"/>
      <w:bookmarkStart w:id="39" w:name="_Toc241660048"/>
      <w:bookmarkStart w:id="40" w:name="_Toc224729658"/>
      <w:bookmarkStart w:id="41" w:name="_Toc287280878"/>
      <w:bookmarkStart w:id="42" w:name="_Toc462415863"/>
      <w:r>
        <w:rPr>
          <w:rFonts w:hint="eastAsia" w:ascii="Arial" w:hAnsi="Arial" w:eastAsia="黑体" w:cs="Arial"/>
          <w:bCs/>
          <w:sz w:val="24"/>
          <w:lang w:val="en-US" w:eastAsia="zh-CN"/>
        </w:rPr>
        <w:t>4.3</w:t>
      </w:r>
      <w:r>
        <w:rPr>
          <w:rFonts w:hint="eastAsia" w:ascii="Arial" w:hAnsi="Arial" w:eastAsia="黑体" w:cs="Arial"/>
          <w:bCs/>
          <w:sz w:val="24"/>
        </w:rPr>
        <w:t>培训</w:t>
      </w:r>
      <w:bookmarkEnd w:id="38"/>
      <w:bookmarkEnd w:id="39"/>
      <w:bookmarkEnd w:id="40"/>
      <w:bookmarkEnd w:id="41"/>
      <w:bookmarkEnd w:id="42"/>
    </w:p>
    <w:p>
      <w:pPr>
        <w:spacing w:line="360" w:lineRule="auto"/>
        <w:ind w:firstLine="480" w:firstLineChars="200"/>
        <w:rPr>
          <w:rFonts w:ascii="宋体" w:hAnsi="宋体" w:cs="Arial"/>
          <w:sz w:val="24"/>
        </w:rPr>
      </w:pPr>
      <w:r>
        <w:rPr>
          <w:rFonts w:hint="eastAsia" w:ascii="宋体" w:hAnsi="宋体" w:cs="Arial"/>
          <w:sz w:val="24"/>
        </w:rPr>
        <w:t>调试完成后，乙方工程师将为</w:t>
      </w:r>
      <w:r>
        <w:rPr>
          <w:rFonts w:hint="eastAsia" w:ascii="宋体" w:hAnsi="宋体" w:cs="Arial"/>
          <w:sz w:val="24"/>
          <w:lang w:val="en-US" w:eastAsia="zh-CN"/>
        </w:rPr>
        <w:t>甲方</w:t>
      </w:r>
      <w:r>
        <w:rPr>
          <w:rFonts w:hint="eastAsia" w:ascii="宋体" w:hAnsi="宋体" w:cs="Arial"/>
          <w:sz w:val="24"/>
        </w:rPr>
        <w:t>对所提供的系统的操作和维修进行培训。</w:t>
      </w:r>
      <w:r>
        <w:rPr>
          <w:rFonts w:hint="eastAsia" w:ascii="宋体" w:hAnsi="宋体" w:cs="Arial"/>
          <w:sz w:val="24"/>
          <w:lang w:val="en-US" w:eastAsia="zh-CN"/>
        </w:rPr>
        <w:t>甲方</w:t>
      </w:r>
      <w:r>
        <w:rPr>
          <w:rFonts w:hint="eastAsia" w:ascii="宋体" w:hAnsi="宋体" w:cs="Arial"/>
          <w:sz w:val="24"/>
        </w:rPr>
        <w:t>有责任保证在培训期间的人员到位。培训计划和内容由乙方负责，培训的人数由双方商定</w:t>
      </w:r>
    </w:p>
    <w:p>
      <w:pPr>
        <w:keepNext/>
        <w:spacing w:before="312" w:beforeLines="100" w:after="156" w:afterLines="50"/>
        <w:jc w:val="left"/>
        <w:outlineLvl w:val="1"/>
        <w:rPr>
          <w:rFonts w:ascii="Arial" w:hAnsi="Arial" w:eastAsia="黑体" w:cs="Arial"/>
          <w:bCs/>
          <w:sz w:val="24"/>
        </w:rPr>
      </w:pPr>
      <w:bookmarkStart w:id="43" w:name="_Toc224729659"/>
      <w:bookmarkStart w:id="44" w:name="_Toc463657511"/>
      <w:bookmarkStart w:id="45" w:name="_Toc287280879"/>
      <w:bookmarkStart w:id="46" w:name="_Toc462415864"/>
      <w:bookmarkStart w:id="47" w:name="_Toc241660049"/>
      <w:r>
        <w:rPr>
          <w:rFonts w:hint="eastAsia" w:ascii="Arial" w:hAnsi="Arial" w:eastAsia="黑体" w:cs="Arial"/>
          <w:bCs/>
          <w:sz w:val="24"/>
          <w:lang w:val="en-US" w:eastAsia="zh-CN"/>
        </w:rPr>
        <w:t>4.4</w:t>
      </w:r>
      <w:r>
        <w:rPr>
          <w:rFonts w:hint="eastAsia" w:ascii="Arial" w:hAnsi="Arial" w:eastAsia="黑体" w:cs="Arial"/>
          <w:bCs/>
          <w:sz w:val="24"/>
        </w:rPr>
        <w:t>售后服务</w:t>
      </w:r>
      <w:bookmarkEnd w:id="43"/>
      <w:bookmarkEnd w:id="44"/>
      <w:bookmarkEnd w:id="45"/>
      <w:bookmarkEnd w:id="46"/>
      <w:bookmarkEnd w:id="47"/>
    </w:p>
    <w:p>
      <w:pPr>
        <w:spacing w:line="360" w:lineRule="auto"/>
        <w:ind w:firstLine="480" w:firstLineChars="200"/>
        <w:rPr>
          <w:rFonts w:hint="eastAsia" w:ascii="宋体" w:hAnsi="宋体" w:cs="Arial"/>
          <w:sz w:val="24"/>
        </w:rPr>
      </w:pPr>
      <w:r>
        <w:rPr>
          <w:rFonts w:hint="eastAsia" w:ascii="宋体" w:hAnsi="宋体" w:cs="Arial"/>
          <w:sz w:val="24"/>
        </w:rPr>
        <w:t>质保期内，如甲方有必要请乙方人员到现场服务时，乙方将积极响应，在接到通知后</w:t>
      </w:r>
      <w:r>
        <w:rPr>
          <w:rFonts w:hint="eastAsia" w:cs="Arial"/>
          <w:sz w:val="24"/>
        </w:rPr>
        <w:t>省内12小时内赶到工作现场，省外24小时内赶到工作现场</w:t>
      </w:r>
      <w:r>
        <w:rPr>
          <w:rFonts w:hint="eastAsia" w:ascii="宋体" w:hAnsi="宋体" w:cs="Arial"/>
          <w:sz w:val="24"/>
        </w:rPr>
        <w:t>，帮助用户及时处理运行中出现的问题，保证设备长期稳定地运行。</w:t>
      </w:r>
    </w:p>
    <w:p>
      <w:pPr>
        <w:spacing w:line="360" w:lineRule="auto"/>
        <w:ind w:firstLine="480" w:firstLineChars="200"/>
        <w:rPr>
          <w:rFonts w:ascii="宋体" w:hAnsi="宋体" w:cs="Arial"/>
          <w:sz w:val="24"/>
        </w:rPr>
      </w:pPr>
      <w:r>
        <w:rPr>
          <w:rFonts w:hint="eastAsia" w:ascii="宋体" w:hAnsi="宋体" w:cs="Arial"/>
          <w:sz w:val="24"/>
        </w:rPr>
        <w:t>免费售后服务承诺为</w:t>
      </w:r>
      <w:r>
        <w:rPr>
          <w:rFonts w:hint="eastAsia" w:ascii="宋体" w:hAnsi="宋体" w:cs="Arial"/>
          <w:sz w:val="24"/>
          <w:lang w:val="en-US" w:eastAsia="zh-CN"/>
        </w:rPr>
        <w:t>1</w:t>
      </w:r>
      <w:r>
        <w:rPr>
          <w:rFonts w:hint="eastAsia" w:ascii="宋体" w:hAnsi="宋体" w:cs="Arial"/>
          <w:sz w:val="24"/>
        </w:rPr>
        <w:t>年。</w:t>
      </w:r>
    </w:p>
    <w:p>
      <w:pPr>
        <w:keepNext/>
        <w:spacing w:before="312" w:beforeLines="100" w:after="156" w:afterLines="50"/>
        <w:jc w:val="left"/>
        <w:outlineLvl w:val="1"/>
        <w:rPr>
          <w:rFonts w:hint="eastAsia" w:ascii="黑体" w:hAnsi="黑体" w:eastAsia="黑体" w:cs="黑体"/>
          <w:b/>
          <w:bCs w:val="0"/>
          <w:sz w:val="28"/>
          <w:szCs w:val="28"/>
        </w:rPr>
      </w:pPr>
      <w:bookmarkStart w:id="48" w:name="_Toc287280882"/>
      <w:bookmarkStart w:id="49" w:name="_Toc224729662"/>
      <w:bookmarkStart w:id="50" w:name="_Toc463657514"/>
      <w:bookmarkStart w:id="51" w:name="_Toc39635735"/>
      <w:bookmarkStart w:id="52" w:name="_Toc462415867"/>
      <w:bookmarkStart w:id="53" w:name="_Toc241660052"/>
      <w:r>
        <w:rPr>
          <w:rFonts w:hint="eastAsia" w:ascii="黑体" w:hAnsi="黑体" w:eastAsia="黑体" w:cs="黑体"/>
          <w:b/>
          <w:bCs w:val="0"/>
          <w:sz w:val="28"/>
          <w:szCs w:val="28"/>
          <w:lang w:val="en-US" w:eastAsia="zh-CN"/>
        </w:rPr>
        <w:t>5.</w:t>
      </w:r>
      <w:r>
        <w:rPr>
          <w:rFonts w:hint="eastAsia" w:ascii="黑体" w:hAnsi="黑体" w:eastAsia="黑体" w:cs="黑体"/>
          <w:b/>
          <w:bCs w:val="0"/>
          <w:sz w:val="28"/>
          <w:szCs w:val="28"/>
        </w:rPr>
        <w:t>资料和图纸</w:t>
      </w:r>
      <w:bookmarkEnd w:id="48"/>
      <w:bookmarkEnd w:id="49"/>
      <w:bookmarkEnd w:id="50"/>
      <w:bookmarkEnd w:id="51"/>
      <w:bookmarkEnd w:id="52"/>
      <w:bookmarkEnd w:id="53"/>
    </w:p>
    <w:p>
      <w:pPr>
        <w:spacing w:line="360" w:lineRule="auto"/>
        <w:rPr>
          <w:rFonts w:ascii="宋体" w:hAnsi="宋体" w:cs="Arial"/>
          <w:sz w:val="24"/>
        </w:rPr>
      </w:pPr>
      <w:r>
        <w:rPr>
          <w:rFonts w:hint="eastAsia" w:ascii="宋体" w:hAnsi="宋体" w:cs="Arial"/>
          <w:sz w:val="24"/>
        </w:rPr>
        <w:t>乙方交付资料如下表：</w:t>
      </w:r>
    </w:p>
    <w:tbl>
      <w:tblPr>
        <w:tblStyle w:val="15"/>
        <w:tblW w:w="8800" w:type="dxa"/>
        <w:jc w:val="center"/>
        <w:tblLayout w:type="fixed"/>
        <w:tblCellMar>
          <w:top w:w="0" w:type="dxa"/>
          <w:left w:w="108" w:type="dxa"/>
          <w:bottom w:w="0" w:type="dxa"/>
          <w:right w:w="108" w:type="dxa"/>
        </w:tblCellMar>
      </w:tblPr>
      <w:tblGrid>
        <w:gridCol w:w="1839"/>
        <w:gridCol w:w="2698"/>
        <w:gridCol w:w="4263"/>
      </w:tblGrid>
      <w:tr>
        <w:tblPrEx>
          <w:tblCellMar>
            <w:top w:w="0" w:type="dxa"/>
            <w:left w:w="108" w:type="dxa"/>
            <w:bottom w:w="0" w:type="dxa"/>
            <w:right w:w="108" w:type="dxa"/>
          </w:tblCellMar>
        </w:tblPrEx>
        <w:trPr>
          <w:trHeight w:val="574" w:hRule="atLeast"/>
          <w:jc w:val="center"/>
        </w:trPr>
        <w:tc>
          <w:tcPr>
            <w:tcW w:w="183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具体时间</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提交资料内容</w:t>
            </w:r>
          </w:p>
        </w:tc>
      </w:tr>
      <w:tr>
        <w:tblPrEx>
          <w:tblCellMar>
            <w:top w:w="0" w:type="dxa"/>
            <w:left w:w="108" w:type="dxa"/>
            <w:bottom w:w="0" w:type="dxa"/>
            <w:right w:w="108" w:type="dxa"/>
          </w:tblCellMar>
        </w:tblPrEx>
        <w:trPr>
          <w:trHeight w:val="375" w:hRule="atLeast"/>
          <w:jc w:val="center"/>
        </w:trPr>
        <w:tc>
          <w:tcPr>
            <w:tcW w:w="1839"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r>
              <w:rPr>
                <w:rFonts w:ascii="宋体" w:hAnsi="宋体" w:cs="Arial"/>
                <w:sz w:val="22"/>
                <w:szCs w:val="22"/>
              </w:rPr>
              <w:t>设计制造阶段</w:t>
            </w:r>
          </w:p>
        </w:tc>
        <w:tc>
          <w:tcPr>
            <w:tcW w:w="2698"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7</w:t>
            </w:r>
            <w:r>
              <w:rPr>
                <w:rFonts w:ascii="宋体" w:hAnsi="宋体" w:cs="Arial"/>
                <w:sz w:val="22"/>
                <w:szCs w:val="22"/>
              </w:rPr>
              <w:t>天内</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1</w:t>
            </w:r>
            <w:r>
              <w:rPr>
                <w:rFonts w:ascii="宋体" w:hAnsi="宋体" w:cs="Arial"/>
                <w:sz w:val="22"/>
                <w:szCs w:val="22"/>
              </w:rPr>
              <w:t>.设备基础外型尺寸图及设备载荷</w:t>
            </w:r>
          </w:p>
        </w:tc>
      </w:tr>
      <w:tr>
        <w:tblPrEx>
          <w:tblCellMar>
            <w:top w:w="0" w:type="dxa"/>
            <w:left w:w="108" w:type="dxa"/>
            <w:bottom w:w="0" w:type="dxa"/>
            <w:right w:w="108" w:type="dxa"/>
          </w:tblCellMar>
        </w:tblPrEx>
        <w:trPr>
          <w:trHeight w:val="473"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2</w:t>
            </w:r>
            <w:r>
              <w:rPr>
                <w:rFonts w:ascii="宋体" w:hAnsi="宋体" w:cs="Arial"/>
                <w:sz w:val="22"/>
                <w:szCs w:val="22"/>
              </w:rPr>
              <w:t>.工艺及</w:t>
            </w:r>
            <w:r>
              <w:rPr>
                <w:rFonts w:hint="eastAsia" w:ascii="宋体" w:hAnsi="宋体" w:cs="Arial"/>
                <w:sz w:val="22"/>
                <w:szCs w:val="22"/>
                <w:lang w:val="en-US" w:eastAsia="zh-CN"/>
              </w:rPr>
              <w:t>设备</w:t>
            </w:r>
            <w:r>
              <w:rPr>
                <w:rFonts w:ascii="宋体" w:hAnsi="宋体" w:cs="Arial"/>
                <w:sz w:val="22"/>
                <w:szCs w:val="22"/>
              </w:rPr>
              <w:t>参数</w:t>
            </w:r>
          </w:p>
        </w:tc>
      </w:tr>
      <w:tr>
        <w:tblPrEx>
          <w:tblCellMar>
            <w:top w:w="0" w:type="dxa"/>
            <w:left w:w="108" w:type="dxa"/>
            <w:bottom w:w="0" w:type="dxa"/>
            <w:right w:w="108" w:type="dxa"/>
          </w:tblCellMar>
        </w:tblPrEx>
        <w:trPr>
          <w:trHeight w:val="375"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restart"/>
            <w:tcBorders>
              <w:top w:val="nil"/>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hint="eastAsia" w:ascii="宋体" w:hAnsi="宋体" w:cs="Arial"/>
                <w:sz w:val="22"/>
                <w:szCs w:val="22"/>
              </w:rPr>
              <w:t>合同</w:t>
            </w:r>
            <w:r>
              <w:rPr>
                <w:rFonts w:ascii="宋体" w:hAnsi="宋体" w:cs="Arial"/>
                <w:sz w:val="22"/>
                <w:szCs w:val="22"/>
              </w:rPr>
              <w:t>签定</w:t>
            </w:r>
            <w:r>
              <w:rPr>
                <w:rFonts w:cs="Arial"/>
                <w:sz w:val="22"/>
                <w:szCs w:val="22"/>
              </w:rPr>
              <w:t>3</w:t>
            </w:r>
            <w:r>
              <w:rPr>
                <w:rFonts w:hint="eastAsia" w:cs="Arial"/>
                <w:sz w:val="22"/>
                <w:szCs w:val="22"/>
              </w:rPr>
              <w:t>0</w:t>
            </w:r>
            <w:r>
              <w:rPr>
                <w:rFonts w:ascii="宋体" w:hAnsi="宋体" w:cs="Arial"/>
                <w:sz w:val="22"/>
                <w:szCs w:val="22"/>
              </w:rPr>
              <w:t>天内</w:t>
            </w:r>
          </w:p>
        </w:tc>
        <w:tc>
          <w:tcPr>
            <w:tcW w:w="4263"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3</w:t>
            </w:r>
            <w:r>
              <w:rPr>
                <w:rFonts w:ascii="宋体" w:hAnsi="宋体" w:cs="Arial"/>
                <w:sz w:val="22"/>
                <w:szCs w:val="22"/>
              </w:rPr>
              <w:t>.系统</w:t>
            </w:r>
            <w:r>
              <w:rPr>
                <w:rFonts w:cs="Arial"/>
                <w:sz w:val="22"/>
                <w:szCs w:val="22"/>
              </w:rPr>
              <w:t>P</w:t>
            </w:r>
            <w:r>
              <w:rPr>
                <w:rFonts w:ascii="宋体" w:hAnsi="宋体" w:cs="Arial"/>
                <w:sz w:val="22"/>
                <w:szCs w:val="22"/>
              </w:rPr>
              <w:t>&amp;</w:t>
            </w:r>
            <w:r>
              <w:rPr>
                <w:rFonts w:cs="Arial"/>
                <w:sz w:val="22"/>
                <w:szCs w:val="22"/>
              </w:rPr>
              <w:t>ID</w:t>
            </w:r>
            <w:r>
              <w:rPr>
                <w:rFonts w:ascii="宋体" w:hAnsi="宋体" w:cs="Arial"/>
                <w:sz w:val="22"/>
                <w:szCs w:val="22"/>
              </w:rPr>
              <w:t>图</w:t>
            </w:r>
          </w:p>
        </w:tc>
      </w:tr>
      <w:tr>
        <w:tblPrEx>
          <w:tblCellMar>
            <w:top w:w="0" w:type="dxa"/>
            <w:left w:w="108" w:type="dxa"/>
            <w:bottom w:w="0" w:type="dxa"/>
            <w:right w:w="108" w:type="dxa"/>
          </w:tblCellMar>
        </w:tblPrEx>
        <w:trPr>
          <w:trHeight w:val="375"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4</w:t>
            </w:r>
            <w:r>
              <w:rPr>
                <w:rFonts w:ascii="宋体" w:hAnsi="宋体" w:cs="Arial"/>
                <w:sz w:val="22"/>
                <w:szCs w:val="22"/>
              </w:rPr>
              <w:t>.系统</w:t>
            </w:r>
            <w:r>
              <w:rPr>
                <w:rFonts w:cs="Arial"/>
                <w:sz w:val="22"/>
                <w:szCs w:val="22"/>
              </w:rPr>
              <w:t>I</w:t>
            </w:r>
            <w:r>
              <w:rPr>
                <w:rFonts w:ascii="宋体" w:hAnsi="宋体" w:cs="Arial"/>
                <w:sz w:val="22"/>
                <w:szCs w:val="22"/>
              </w:rPr>
              <w:t>/</w:t>
            </w:r>
            <w:r>
              <w:rPr>
                <w:rFonts w:cs="Arial"/>
                <w:sz w:val="22"/>
                <w:szCs w:val="22"/>
              </w:rPr>
              <w:t>O</w:t>
            </w:r>
            <w:r>
              <w:rPr>
                <w:rFonts w:ascii="宋体" w:hAnsi="宋体" w:cs="Arial"/>
                <w:sz w:val="22"/>
                <w:szCs w:val="22"/>
              </w:rPr>
              <w:t>清单</w:t>
            </w:r>
          </w:p>
        </w:tc>
      </w:tr>
      <w:tr>
        <w:tblPrEx>
          <w:tblCellMar>
            <w:top w:w="0" w:type="dxa"/>
            <w:left w:w="108" w:type="dxa"/>
            <w:bottom w:w="0" w:type="dxa"/>
            <w:right w:w="108" w:type="dxa"/>
          </w:tblCellMar>
        </w:tblPrEx>
        <w:trPr>
          <w:trHeight w:val="375"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cs="Arial"/>
                <w:sz w:val="22"/>
                <w:szCs w:val="22"/>
              </w:rPr>
              <w:t>5</w:t>
            </w:r>
            <w:r>
              <w:rPr>
                <w:rFonts w:ascii="宋体" w:hAnsi="宋体" w:cs="Arial"/>
                <w:sz w:val="22"/>
                <w:szCs w:val="22"/>
              </w:rPr>
              <w:t>.控制系统端子图</w:t>
            </w:r>
          </w:p>
        </w:tc>
      </w:tr>
      <w:tr>
        <w:tblPrEx>
          <w:tblCellMar>
            <w:top w:w="0" w:type="dxa"/>
            <w:left w:w="108" w:type="dxa"/>
            <w:bottom w:w="0" w:type="dxa"/>
            <w:right w:w="108" w:type="dxa"/>
          </w:tblCellMar>
        </w:tblPrEx>
        <w:trPr>
          <w:trHeight w:val="420"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nil"/>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right w:val="single" w:color="auto" w:sz="4" w:space="0"/>
            </w:tcBorders>
            <w:noWrap/>
            <w:vAlign w:val="center"/>
          </w:tcPr>
          <w:p>
            <w:pPr>
              <w:spacing w:line="360" w:lineRule="auto"/>
              <w:rPr>
                <w:rFonts w:ascii="宋体" w:hAnsi="宋体" w:cs="Arial"/>
                <w:sz w:val="22"/>
                <w:szCs w:val="22"/>
              </w:rPr>
            </w:pPr>
            <w:r>
              <w:rPr>
                <w:rFonts w:cs="Arial"/>
                <w:sz w:val="22"/>
                <w:szCs w:val="22"/>
              </w:rPr>
              <w:t>6</w:t>
            </w:r>
            <w:r>
              <w:rPr>
                <w:rFonts w:ascii="宋体" w:hAnsi="宋体" w:cs="Arial"/>
                <w:sz w:val="22"/>
                <w:szCs w:val="22"/>
              </w:rPr>
              <w:t>.相关接口图纸</w:t>
            </w:r>
          </w:p>
        </w:tc>
      </w:tr>
      <w:tr>
        <w:tblPrEx>
          <w:tblCellMar>
            <w:top w:w="0" w:type="dxa"/>
            <w:left w:w="108" w:type="dxa"/>
            <w:bottom w:w="0" w:type="dxa"/>
            <w:right w:w="108" w:type="dxa"/>
          </w:tblCellMar>
        </w:tblPrEx>
        <w:trPr>
          <w:trHeight w:val="215" w:hRule="atLeast"/>
          <w:jc w:val="center"/>
        </w:trPr>
        <w:tc>
          <w:tcPr>
            <w:tcW w:w="1839" w:type="dxa"/>
            <w:vMerge w:val="restart"/>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发货阶段</w:t>
            </w:r>
          </w:p>
        </w:tc>
        <w:tc>
          <w:tcPr>
            <w:tcW w:w="2698" w:type="dxa"/>
            <w:vMerge w:val="restart"/>
            <w:tcBorders>
              <w:top w:val="single" w:color="auto" w:sz="4" w:space="0"/>
              <w:left w:val="single" w:color="auto" w:sz="4" w:space="0"/>
              <w:bottom w:val="nil"/>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随货</w:t>
            </w:r>
          </w:p>
        </w:tc>
        <w:tc>
          <w:tcPr>
            <w:tcW w:w="4263" w:type="dxa"/>
            <w:tcBorders>
              <w:top w:val="single" w:color="auto" w:sz="4" w:space="0"/>
              <w:left w:val="nil"/>
              <w:bottom w:val="single" w:color="auto" w:sz="4" w:space="0"/>
              <w:right w:val="single" w:color="auto" w:sz="4" w:space="0"/>
            </w:tcBorders>
            <w:noWrap/>
            <w:vAlign w:val="bottom"/>
          </w:tcPr>
          <w:p>
            <w:pPr>
              <w:spacing w:line="360" w:lineRule="auto"/>
              <w:jc w:val="both"/>
              <w:rPr>
                <w:rFonts w:ascii="宋体" w:hAnsi="宋体" w:cs="Arial"/>
                <w:sz w:val="22"/>
                <w:szCs w:val="22"/>
              </w:rPr>
            </w:pPr>
            <w:r>
              <w:rPr>
                <w:rFonts w:cs="Arial"/>
                <w:sz w:val="22"/>
                <w:szCs w:val="22"/>
              </w:rPr>
              <w:t>7</w:t>
            </w:r>
            <w:r>
              <w:rPr>
                <w:rFonts w:ascii="宋体" w:hAnsi="宋体" w:cs="Arial"/>
                <w:sz w:val="22"/>
                <w:szCs w:val="22"/>
              </w:rPr>
              <w:t>.产品合格证</w:t>
            </w:r>
          </w:p>
        </w:tc>
      </w:tr>
      <w:tr>
        <w:tblPrEx>
          <w:tblCellMar>
            <w:top w:w="0" w:type="dxa"/>
            <w:left w:w="108" w:type="dxa"/>
            <w:bottom w:w="0" w:type="dxa"/>
            <w:right w:w="108" w:type="dxa"/>
          </w:tblCellMar>
        </w:tblPrEx>
        <w:trPr>
          <w:trHeight w:val="308" w:hRule="atLeast"/>
          <w:jc w:val="center"/>
        </w:trPr>
        <w:tc>
          <w:tcPr>
            <w:tcW w:w="1839" w:type="dxa"/>
            <w:vMerge w:val="continue"/>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cs="Arial"/>
                <w:sz w:val="22"/>
                <w:szCs w:val="22"/>
              </w:rPr>
            </w:pPr>
          </w:p>
        </w:tc>
        <w:tc>
          <w:tcPr>
            <w:tcW w:w="2698" w:type="dxa"/>
            <w:vMerge w:val="continue"/>
            <w:tcBorders>
              <w:top w:val="single" w:color="auto" w:sz="4" w:space="0"/>
              <w:left w:val="single" w:color="auto" w:sz="4" w:space="0"/>
              <w:bottom w:val="nil"/>
              <w:right w:val="single" w:color="auto" w:sz="4" w:space="0"/>
            </w:tcBorders>
            <w:noWrap w:val="0"/>
            <w:vAlign w:val="center"/>
          </w:tcPr>
          <w:p>
            <w:pPr>
              <w:spacing w:line="360" w:lineRule="auto"/>
              <w:rPr>
                <w:rFonts w:ascii="宋体" w:hAnsi="宋体" w:cs="Arial"/>
                <w:sz w:val="22"/>
                <w:szCs w:val="22"/>
              </w:rPr>
            </w:pPr>
          </w:p>
        </w:tc>
        <w:tc>
          <w:tcPr>
            <w:tcW w:w="4263" w:type="dxa"/>
            <w:tcBorders>
              <w:top w:val="nil"/>
              <w:left w:val="nil"/>
              <w:bottom w:val="single" w:color="auto" w:sz="4" w:space="0"/>
              <w:right w:val="single" w:color="auto" w:sz="4" w:space="0"/>
            </w:tcBorders>
            <w:noWrap/>
            <w:vAlign w:val="bottom"/>
          </w:tcPr>
          <w:p>
            <w:pPr>
              <w:spacing w:line="360" w:lineRule="auto"/>
              <w:jc w:val="both"/>
              <w:rPr>
                <w:rFonts w:ascii="宋体" w:hAnsi="宋体" w:cs="Arial"/>
                <w:sz w:val="22"/>
                <w:szCs w:val="22"/>
              </w:rPr>
            </w:pPr>
            <w:r>
              <w:rPr>
                <w:rFonts w:cs="Arial"/>
                <w:sz w:val="22"/>
                <w:szCs w:val="22"/>
              </w:rPr>
              <w:t>8</w:t>
            </w:r>
            <w:r>
              <w:rPr>
                <w:rFonts w:ascii="宋体" w:hAnsi="宋体" w:cs="Arial"/>
                <w:sz w:val="22"/>
                <w:szCs w:val="22"/>
              </w:rPr>
              <w:t>.关键件合格证明</w:t>
            </w:r>
          </w:p>
        </w:tc>
      </w:tr>
      <w:tr>
        <w:tblPrEx>
          <w:tblCellMar>
            <w:top w:w="0" w:type="dxa"/>
            <w:left w:w="108" w:type="dxa"/>
            <w:bottom w:w="0" w:type="dxa"/>
            <w:right w:w="108" w:type="dxa"/>
          </w:tblCellMar>
        </w:tblPrEx>
        <w:trPr>
          <w:trHeight w:val="375" w:hRule="atLeast"/>
          <w:jc w:val="center"/>
        </w:trPr>
        <w:tc>
          <w:tcPr>
            <w:tcW w:w="1839"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安装阶段</w:t>
            </w:r>
          </w:p>
        </w:tc>
        <w:tc>
          <w:tcPr>
            <w:tcW w:w="2698" w:type="dxa"/>
            <w:tcBorders>
              <w:top w:val="single" w:color="auto" w:sz="4" w:space="0"/>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安装前</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9</w:t>
            </w:r>
            <w:r>
              <w:rPr>
                <w:rFonts w:ascii="宋体" w:hAnsi="宋体" w:cs="Arial"/>
                <w:sz w:val="22"/>
                <w:szCs w:val="22"/>
              </w:rPr>
              <w:t>.施工图(机械\电气)</w:t>
            </w:r>
          </w:p>
        </w:tc>
      </w:tr>
      <w:tr>
        <w:tblPrEx>
          <w:tblCellMar>
            <w:top w:w="0" w:type="dxa"/>
            <w:left w:w="108" w:type="dxa"/>
            <w:bottom w:w="0" w:type="dxa"/>
            <w:right w:w="108" w:type="dxa"/>
          </w:tblCellMar>
        </w:tblPrEx>
        <w:trPr>
          <w:trHeight w:val="375" w:hRule="atLeast"/>
          <w:jc w:val="center"/>
        </w:trPr>
        <w:tc>
          <w:tcPr>
            <w:tcW w:w="1839" w:type="dxa"/>
            <w:tcBorders>
              <w:top w:val="nil"/>
              <w:left w:val="single" w:color="auto" w:sz="4" w:space="0"/>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调试阶段</w:t>
            </w:r>
          </w:p>
        </w:tc>
        <w:tc>
          <w:tcPr>
            <w:tcW w:w="2698"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ascii="宋体" w:hAnsi="宋体" w:cs="Arial"/>
                <w:sz w:val="22"/>
                <w:szCs w:val="22"/>
              </w:rPr>
              <w:t>调试后</w:t>
            </w:r>
          </w:p>
        </w:tc>
        <w:tc>
          <w:tcPr>
            <w:tcW w:w="4263" w:type="dxa"/>
            <w:tcBorders>
              <w:top w:val="nil"/>
              <w:left w:val="nil"/>
              <w:bottom w:val="single" w:color="auto" w:sz="4" w:space="0"/>
              <w:right w:val="single" w:color="auto" w:sz="4" w:space="0"/>
            </w:tcBorders>
            <w:noWrap/>
            <w:vAlign w:val="center"/>
          </w:tcPr>
          <w:p>
            <w:pPr>
              <w:spacing w:line="360" w:lineRule="auto"/>
              <w:rPr>
                <w:rFonts w:ascii="宋体" w:hAnsi="宋体" w:cs="Arial"/>
                <w:sz w:val="22"/>
                <w:szCs w:val="22"/>
              </w:rPr>
            </w:pPr>
            <w:r>
              <w:rPr>
                <w:rFonts w:hint="eastAsia" w:cs="Arial"/>
                <w:sz w:val="22"/>
                <w:szCs w:val="22"/>
                <w:lang w:val="en-US" w:eastAsia="zh-CN"/>
              </w:rPr>
              <w:t>10</w:t>
            </w:r>
            <w:r>
              <w:rPr>
                <w:rFonts w:ascii="宋体" w:hAnsi="宋体" w:cs="Arial"/>
                <w:sz w:val="22"/>
                <w:szCs w:val="22"/>
              </w:rPr>
              <w:t>.操作维护手册</w:t>
            </w:r>
          </w:p>
        </w:tc>
      </w:tr>
    </w:tbl>
    <w:p>
      <w:pPr>
        <w:pStyle w:val="2"/>
        <w:keepLines w:val="0"/>
        <w:widowControl/>
        <w:numPr>
          <w:ilvl w:val="0"/>
          <w:numId w:val="0"/>
        </w:numPr>
        <w:tabs>
          <w:tab w:val="left" w:pos="420"/>
        </w:tabs>
        <w:spacing w:before="0" w:line="360" w:lineRule="auto"/>
        <w:ind w:leftChars="0"/>
        <w:rPr>
          <w:rFonts w:hint="eastAsia" w:ascii="黑体" w:hAnsi="宋体" w:cs="Arial"/>
          <w:b w:val="0"/>
          <w:sz w:val="28"/>
          <w:szCs w:val="28"/>
          <w:lang w:val="en-US" w:eastAsia="zh-CN"/>
        </w:rPr>
      </w:pPr>
      <w:bookmarkStart w:id="54" w:name="_Toc287280883"/>
      <w:bookmarkStart w:id="55" w:name="_Toc464230168"/>
      <w:bookmarkStart w:id="56" w:name="_Toc224457631"/>
      <w:bookmarkStart w:id="57" w:name="_Toc463657515"/>
      <w:bookmarkStart w:id="58" w:name="_Toc187483831"/>
      <w:bookmarkStart w:id="59" w:name="_Toc187480646"/>
      <w:bookmarkStart w:id="60" w:name="_Toc462415868"/>
      <w:bookmarkStart w:id="61" w:name="_Toc187231808"/>
    </w:p>
    <w:p>
      <w:pPr>
        <w:pStyle w:val="2"/>
        <w:keepLines w:val="0"/>
        <w:widowControl/>
        <w:numPr>
          <w:ilvl w:val="0"/>
          <w:numId w:val="0"/>
        </w:numPr>
        <w:tabs>
          <w:tab w:val="left" w:pos="420"/>
        </w:tabs>
        <w:spacing w:before="0" w:line="240" w:lineRule="auto"/>
        <w:ind w:leftChars="0"/>
        <w:jc w:val="both"/>
        <w:rPr>
          <w:rFonts w:ascii="黑体" w:hAnsi="宋体" w:cs="Arial"/>
          <w:b/>
          <w:bCs w:val="0"/>
          <w:sz w:val="28"/>
          <w:szCs w:val="28"/>
        </w:rPr>
      </w:pPr>
      <w:r>
        <w:rPr>
          <w:rFonts w:hint="eastAsia" w:ascii="黑体" w:hAnsi="宋体" w:cs="Arial"/>
          <w:b/>
          <w:bCs w:val="0"/>
          <w:sz w:val="28"/>
          <w:szCs w:val="28"/>
          <w:lang w:val="en-US" w:eastAsia="zh-CN"/>
        </w:rPr>
        <w:t>6.</w:t>
      </w:r>
      <w:r>
        <w:rPr>
          <w:rFonts w:ascii="黑体" w:hAnsi="宋体" w:cs="Arial"/>
          <w:b/>
          <w:bCs w:val="0"/>
          <w:sz w:val="28"/>
          <w:szCs w:val="28"/>
        </w:rPr>
        <w:t>质量保证及考核试验</w:t>
      </w:r>
      <w:bookmarkEnd w:id="54"/>
      <w:bookmarkEnd w:id="55"/>
      <w:bookmarkEnd w:id="56"/>
      <w:bookmarkEnd w:id="57"/>
      <w:bookmarkEnd w:id="58"/>
      <w:bookmarkEnd w:id="59"/>
      <w:bookmarkEnd w:id="60"/>
      <w:bookmarkEnd w:id="61"/>
    </w:p>
    <w:p>
      <w:pPr>
        <w:keepNext/>
        <w:spacing w:before="312" w:beforeLines="100" w:after="156" w:afterLines="50" w:line="240" w:lineRule="auto"/>
        <w:jc w:val="left"/>
        <w:outlineLvl w:val="1"/>
        <w:rPr>
          <w:rFonts w:ascii="Arial" w:hAnsi="Arial" w:eastAsia="黑体" w:cs="Arial"/>
          <w:bCs/>
          <w:sz w:val="24"/>
        </w:rPr>
      </w:pPr>
      <w:bookmarkStart w:id="62" w:name="_Toc462415869"/>
      <w:bookmarkStart w:id="63" w:name="_Toc464221012"/>
      <w:bookmarkStart w:id="64" w:name="_Toc287280884"/>
      <w:bookmarkStart w:id="65" w:name="_Toc463657516"/>
      <w:r>
        <w:rPr>
          <w:rFonts w:hint="eastAsia" w:ascii="Arial" w:hAnsi="Arial" w:eastAsia="黑体" w:cs="Arial"/>
          <w:bCs/>
          <w:sz w:val="24"/>
          <w:lang w:val="en-US" w:eastAsia="zh-CN"/>
        </w:rPr>
        <w:t>6.1</w:t>
      </w:r>
      <w:r>
        <w:rPr>
          <w:rFonts w:ascii="Arial" w:hAnsi="Arial" w:eastAsia="黑体" w:cs="Arial"/>
          <w:bCs/>
          <w:sz w:val="24"/>
        </w:rPr>
        <w:t>规程、规范和标准</w:t>
      </w:r>
      <w:bookmarkEnd w:id="62"/>
      <w:bookmarkEnd w:id="63"/>
      <w:bookmarkEnd w:id="64"/>
      <w:bookmarkEnd w:id="65"/>
    </w:p>
    <w:p>
      <w:pPr>
        <w:spacing w:line="360" w:lineRule="auto"/>
        <w:ind w:firstLine="480" w:firstLineChars="200"/>
        <w:rPr>
          <w:rFonts w:ascii="宋体" w:hAnsi="宋体" w:cs="Arial"/>
          <w:sz w:val="24"/>
        </w:rPr>
      </w:pPr>
      <w:r>
        <w:rPr>
          <w:rFonts w:ascii="宋体" w:hAnsi="宋体" w:cs="Arial"/>
          <w:sz w:val="24"/>
        </w:rPr>
        <w:t>系统国内供货的部件的设计和制造，符合现行使用的有关的国家标准及部颁标准，这些标准和规范(不限于)至少包括：</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340" w:type="dxa"/>
            <w:gridSpan w:val="2"/>
            <w:noWrap w:val="0"/>
            <w:vAlign w:val="bottom"/>
          </w:tcPr>
          <w:p>
            <w:pPr>
              <w:spacing w:line="360" w:lineRule="auto"/>
              <w:jc w:val="both"/>
              <w:rPr>
                <w:rFonts w:hint="eastAsia" w:ascii="宋体" w:hAnsi="宋体" w:cs="宋体"/>
                <w:sz w:val="24"/>
                <w:szCs w:val="24"/>
              </w:rPr>
            </w:pPr>
            <w:r>
              <w:rPr>
                <w:rFonts w:hint="eastAsia" w:ascii="宋体" w:hAnsi="宋体" w:cs="宋体"/>
                <w:sz w:val="24"/>
                <w:szCs w:val="24"/>
              </w:rPr>
              <w:t>制造标准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9022-1999</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lang w:eastAsia="zh-CN"/>
              </w:rPr>
              <w:t>平面回旋筛</w:t>
            </w:r>
            <w:r>
              <w:rPr>
                <w:rFonts w:hint="eastAsia" w:ascii="宋体" w:hAnsi="宋体" w:cs="宋体"/>
                <w:sz w:val="21"/>
                <w:szCs w:val="21"/>
              </w:rPr>
              <w:t>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5469-2004</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lang w:eastAsia="zh-CN"/>
              </w:rPr>
              <w:t>平面回旋筛</w:t>
            </w:r>
            <w:r>
              <w:rPr>
                <w:rFonts w:hint="eastAsia" w:ascii="宋体" w:hAnsi="宋体" w:cs="宋体"/>
                <w:sz w:val="21"/>
                <w:szCs w:val="21"/>
              </w:rPr>
              <w:t>制造通用技术条件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GB/T 699-1999</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优质碳素结构钢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eastAsia="宋体" w:cs="宋体"/>
                <w:b w:val="0"/>
                <w:bCs w:val="0"/>
                <w:i w:val="0"/>
                <w:iCs w:val="0"/>
                <w:caps w:val="0"/>
                <w:color w:val="333333"/>
                <w:spacing w:val="0"/>
                <w:sz w:val="21"/>
                <w:szCs w:val="21"/>
              </w:rPr>
              <w:t>JB/T3926—</w:t>
            </w:r>
            <w:r>
              <w:rPr>
                <w:rFonts w:hint="eastAsia" w:ascii="宋体" w:hAnsi="宋体" w:cs="宋体"/>
                <w:b w:val="0"/>
                <w:bCs w:val="0"/>
                <w:i w:val="0"/>
                <w:iCs w:val="0"/>
                <w:caps w:val="0"/>
                <w:color w:val="333333"/>
                <w:spacing w:val="0"/>
                <w:sz w:val="21"/>
                <w:szCs w:val="21"/>
                <w:lang w:val="en-US" w:eastAsia="zh-CN"/>
              </w:rPr>
              <w:t>2014</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b w:val="0"/>
                <w:bCs w:val="0"/>
                <w:i w:val="0"/>
                <w:iCs w:val="0"/>
                <w:caps w:val="0"/>
                <w:color w:val="333333"/>
                <w:spacing w:val="0"/>
                <w:sz w:val="21"/>
                <w:szCs w:val="21"/>
                <w:lang w:eastAsia="zh-CN"/>
              </w:rPr>
              <w:t>《</w:t>
            </w:r>
            <w:r>
              <w:rPr>
                <w:rFonts w:hint="eastAsia" w:ascii="宋体" w:hAnsi="宋体" w:eastAsia="宋体" w:cs="宋体"/>
                <w:b w:val="0"/>
                <w:bCs w:val="0"/>
                <w:i w:val="0"/>
                <w:iCs w:val="0"/>
                <w:caps w:val="0"/>
                <w:color w:val="333333"/>
                <w:spacing w:val="0"/>
                <w:sz w:val="21"/>
                <w:szCs w:val="21"/>
              </w:rPr>
              <w:t>垂直斗式提升机</w:t>
            </w:r>
            <w:r>
              <w:rPr>
                <w:rFonts w:hint="eastAsia" w:ascii="宋体" w:hAnsi="宋体" w:cs="宋体"/>
                <w:b w:val="0"/>
                <w:bCs w:val="0"/>
                <w:i w:val="0"/>
                <w:iCs w:val="0"/>
                <w:caps w:val="0"/>
                <w:color w:val="333333"/>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rPr>
              <w:t>MT/T36—1980</w:t>
            </w:r>
          </w:p>
        </w:tc>
        <w:tc>
          <w:tcPr>
            <w:tcW w:w="6533" w:type="dxa"/>
            <w:noWrap w:val="0"/>
            <w:vAlign w:val="bottom"/>
          </w:tcPr>
          <w:p>
            <w:pPr>
              <w:spacing w:line="360" w:lineRule="auto"/>
              <w:jc w:val="both"/>
              <w:rPr>
                <w:rFonts w:hint="eastAsia" w:ascii="宋体" w:hAnsi="宋体" w:cs="宋体"/>
                <w:b w:val="0"/>
                <w:bCs w:val="0"/>
                <w:i w:val="0"/>
                <w:iCs w:val="0"/>
                <w:caps w:val="0"/>
                <w:color w:val="333333"/>
                <w:spacing w:val="0"/>
                <w:sz w:val="21"/>
                <w:szCs w:val="21"/>
                <w:lang w:eastAsia="zh-CN"/>
              </w:rPr>
            </w:pPr>
            <w:r>
              <w:rPr>
                <w:rFonts w:hint="eastAsia" w:ascii="宋体" w:hAnsi="宋体" w:cs="宋体"/>
                <w:b w:val="0"/>
                <w:bCs w:val="0"/>
                <w:i w:val="0"/>
                <w:iCs w:val="0"/>
                <w:caps w:val="0"/>
                <w:color w:val="333333"/>
                <w:spacing w:val="0"/>
                <w:sz w:val="21"/>
                <w:szCs w:val="21"/>
                <w:lang w:eastAsia="zh-CN"/>
              </w:rPr>
              <w:t>《</w:t>
            </w:r>
            <w:r>
              <w:rPr>
                <w:rFonts w:hint="eastAsia" w:ascii="宋体" w:hAnsi="宋体" w:eastAsia="宋体" w:cs="宋体"/>
                <w:b w:val="0"/>
                <w:bCs w:val="0"/>
                <w:i w:val="0"/>
                <w:iCs w:val="0"/>
                <w:caps w:val="0"/>
                <w:color w:val="333333"/>
                <w:spacing w:val="0"/>
                <w:sz w:val="21"/>
                <w:szCs w:val="21"/>
              </w:rPr>
              <w:t>矿用高强度圆环链</w:t>
            </w:r>
            <w:r>
              <w:rPr>
                <w:rFonts w:hint="eastAsia" w:ascii="宋体" w:hAnsi="宋体" w:cs="宋体"/>
                <w:b w:val="0"/>
                <w:bCs w:val="0"/>
                <w:i w:val="0"/>
                <w:iCs w:val="0"/>
                <w:caps w:val="0"/>
                <w:color w:val="333333"/>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5000.1-2007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产品检验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5000.2-2007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火焰切割件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5000.3-2007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焊接件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5000.4-2007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铸铁件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5000.6-2007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铸钢件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5000.7-2007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铸钢补焊件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5000.8-2007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锻件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5000.9-2007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切削加工件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 xml:space="preserve">JB/T 5000.10—2007 </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   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5000.12-2007</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重型机械通用技术条件</w:t>
            </w:r>
            <w:r>
              <w:rPr>
                <w:rFonts w:hint="eastAsia" w:ascii="宋体" w:hAnsi="宋体" w:cs="宋体"/>
                <w:b/>
                <w:bCs/>
                <w:sz w:val="21"/>
                <w:szCs w:val="21"/>
              </w:rPr>
              <w:t xml:space="preserve">   </w:t>
            </w:r>
            <w:r>
              <w:rPr>
                <w:rFonts w:hint="eastAsia" w:ascii="宋体" w:hAnsi="宋体" w:cs="宋体"/>
                <w:sz w:val="21"/>
                <w:szCs w:val="21"/>
              </w:rPr>
              <w:t>涂装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Mt/z7-1979</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设备工艺效果评定方法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GB 12348-90</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工业企业厂界噪音标准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 xml:space="preserve">GB/T 5330—85 </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金属编织筛网规范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3687.2—1999</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矿用座式</w:t>
            </w:r>
            <w:r>
              <w:rPr>
                <w:rFonts w:hint="eastAsia" w:ascii="宋体" w:hAnsi="宋体" w:cs="宋体"/>
                <w:sz w:val="21"/>
                <w:szCs w:val="21"/>
                <w:lang w:eastAsia="zh-CN"/>
              </w:rPr>
              <w:t>平面回旋筛</w:t>
            </w:r>
            <w:r>
              <w:rPr>
                <w:rFonts w:hint="eastAsia" w:ascii="宋体" w:hAnsi="宋体" w:cs="宋体"/>
                <w:sz w:val="21"/>
                <w:szCs w:val="21"/>
              </w:rPr>
              <w:t>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GB/T 3633—1995</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钢结构用扭剪型高强度螺栓联接副技术条件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 xml:space="preserve">GB/T 9969.1—1988 </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工业产品使用说明书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JB/T 4042—1999</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lang w:eastAsia="zh-CN"/>
              </w:rPr>
              <w:t>平面回旋筛</w:t>
            </w:r>
            <w:r>
              <w:rPr>
                <w:rFonts w:hint="eastAsia" w:ascii="宋体" w:hAnsi="宋体" w:cs="宋体"/>
                <w:sz w:val="21"/>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GB/T1184-1996</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形状和位置公差  未注公差值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GB/T985.1-2008</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rPr>
              <w:t xml:space="preserve"> 气焊、焊条电弧焊、气体保护焊和高能束焊的推荐坡口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07"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shd w:val="clear" w:color="auto" w:fill="FFFFFF"/>
              </w:rPr>
              <w:t>GB/T11352-2009 </w:t>
            </w:r>
          </w:p>
        </w:tc>
        <w:tc>
          <w:tcPr>
            <w:tcW w:w="6533" w:type="dxa"/>
            <w:noWrap w:val="0"/>
            <w:vAlign w:val="bottom"/>
          </w:tcPr>
          <w:p>
            <w:pPr>
              <w:spacing w:line="360" w:lineRule="auto"/>
              <w:jc w:val="both"/>
              <w:rPr>
                <w:rFonts w:hint="eastAsia" w:ascii="宋体" w:hAnsi="宋体" w:cs="宋体"/>
                <w:sz w:val="21"/>
                <w:szCs w:val="21"/>
              </w:rPr>
            </w:pPr>
            <w:r>
              <w:rPr>
                <w:rFonts w:hint="eastAsia" w:ascii="宋体" w:hAnsi="宋体" w:cs="宋体"/>
                <w:sz w:val="21"/>
                <w:szCs w:val="21"/>
                <w:shd w:val="clear" w:color="auto" w:fill="FFFFFF"/>
              </w:rPr>
              <w:t>一般工程用铸造碳钢件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807" w:type="dxa"/>
            <w:noWrap w:val="0"/>
            <w:vAlign w:val="bottom"/>
          </w:tcPr>
          <w:p>
            <w:pPr>
              <w:widowControl/>
              <w:spacing w:line="360" w:lineRule="auto"/>
              <w:jc w:val="both"/>
              <w:textAlignment w:val="center"/>
              <w:rPr>
                <w:rFonts w:hint="eastAsia" w:ascii="宋体" w:hAnsi="宋体" w:cs="宋体"/>
                <w:sz w:val="21"/>
                <w:szCs w:val="21"/>
                <w:shd w:val="clear" w:color="auto" w:fill="FFFFFF"/>
              </w:rPr>
            </w:pPr>
            <w:r>
              <w:rPr>
                <w:rFonts w:hint="eastAsia" w:ascii="宋体" w:hAnsi="宋体" w:cs="宋体"/>
                <w:color w:val="000000"/>
                <w:kern w:val="0"/>
                <w:sz w:val="21"/>
                <w:szCs w:val="21"/>
                <w:lang w:bidi="ar"/>
              </w:rPr>
              <w:t xml:space="preserve">GBJ17-1988 </w:t>
            </w:r>
          </w:p>
        </w:tc>
        <w:tc>
          <w:tcPr>
            <w:tcW w:w="6533" w:type="dxa"/>
            <w:noWrap w:val="0"/>
            <w:vAlign w:val="bottom"/>
          </w:tcPr>
          <w:p>
            <w:pPr>
              <w:spacing w:line="360" w:lineRule="auto"/>
              <w:jc w:val="both"/>
              <w:rPr>
                <w:rFonts w:hint="eastAsia" w:ascii="宋体" w:hAnsi="宋体" w:cs="宋体"/>
                <w:sz w:val="21"/>
                <w:szCs w:val="21"/>
                <w:shd w:val="clear" w:color="auto" w:fill="FFFFFF"/>
              </w:rPr>
            </w:pPr>
            <w:r>
              <w:rPr>
                <w:rFonts w:hint="eastAsia" w:ascii="宋体" w:hAnsi="宋体" w:cs="宋体"/>
                <w:color w:val="000000"/>
                <w:kern w:val="0"/>
                <w:sz w:val="21"/>
                <w:szCs w:val="21"/>
                <w:lang w:bidi="ar"/>
              </w:rPr>
              <w:t>钢结构设计规范</w:t>
            </w:r>
          </w:p>
        </w:tc>
      </w:tr>
    </w:tbl>
    <w:p>
      <w:pPr>
        <w:spacing w:line="360" w:lineRule="auto"/>
        <w:rPr>
          <w:rFonts w:ascii="宋体" w:hAnsi="宋体" w:cs="Arial"/>
          <w:sz w:val="24"/>
        </w:rPr>
      </w:pPr>
    </w:p>
    <w:p>
      <w:pPr>
        <w:keepNext/>
        <w:spacing w:before="312" w:beforeLines="100" w:after="156" w:afterLines="50"/>
        <w:jc w:val="left"/>
        <w:outlineLvl w:val="1"/>
        <w:rPr>
          <w:rFonts w:ascii="Arial" w:hAnsi="Arial" w:eastAsia="黑体" w:cs="Arial"/>
          <w:bCs/>
          <w:sz w:val="24"/>
        </w:rPr>
      </w:pPr>
      <w:bookmarkStart w:id="66" w:name="_Toc464221014"/>
      <w:bookmarkStart w:id="67" w:name="_Toc462415871"/>
      <w:bookmarkStart w:id="68" w:name="_Toc287280886"/>
      <w:bookmarkStart w:id="69" w:name="_Toc463657518"/>
      <w:r>
        <w:rPr>
          <w:rFonts w:hint="eastAsia" w:ascii="Arial" w:hAnsi="Arial" w:eastAsia="黑体" w:cs="Arial"/>
          <w:bCs/>
          <w:sz w:val="24"/>
          <w:lang w:val="en-US" w:eastAsia="zh-CN"/>
        </w:rPr>
        <w:t>6.2</w:t>
      </w:r>
      <w:r>
        <w:rPr>
          <w:rFonts w:ascii="Arial" w:hAnsi="Arial" w:eastAsia="黑体" w:cs="Arial"/>
          <w:bCs/>
          <w:sz w:val="24"/>
        </w:rPr>
        <w:t>质保期</w:t>
      </w:r>
      <w:bookmarkEnd w:id="66"/>
      <w:bookmarkEnd w:id="67"/>
      <w:bookmarkEnd w:id="68"/>
      <w:bookmarkEnd w:id="69"/>
    </w:p>
    <w:p>
      <w:pPr>
        <w:spacing w:line="360" w:lineRule="auto"/>
        <w:ind w:left="0" w:leftChars="0" w:firstLine="480" w:firstLineChars="200"/>
        <w:rPr>
          <w:rFonts w:ascii="宋体" w:hAnsi="宋体" w:cs="Arial"/>
          <w:sz w:val="24"/>
        </w:rPr>
      </w:pPr>
      <w:r>
        <w:rPr>
          <w:rFonts w:hint="eastAsia" w:ascii="宋体" w:hAnsi="宋体" w:cs="Arial"/>
          <w:sz w:val="24"/>
        </w:rPr>
        <w:t>设备调试</w:t>
      </w:r>
      <w:r>
        <w:rPr>
          <w:rFonts w:ascii="宋体" w:hAnsi="宋体" w:cs="Arial"/>
          <w:sz w:val="24"/>
        </w:rPr>
        <w:t>验收合格后的</w:t>
      </w:r>
      <w:r>
        <w:rPr>
          <w:rFonts w:cs="Arial"/>
          <w:sz w:val="24"/>
        </w:rPr>
        <w:t>1</w:t>
      </w:r>
      <w:r>
        <w:rPr>
          <w:rFonts w:ascii="宋体" w:hAnsi="宋体" w:cs="Arial"/>
          <w:sz w:val="24"/>
        </w:rPr>
        <w:t>年</w:t>
      </w:r>
      <w:r>
        <w:rPr>
          <w:rFonts w:hint="eastAsia" w:ascii="宋体" w:hAnsi="宋体" w:cs="Arial"/>
          <w:sz w:val="24"/>
        </w:rPr>
        <w:t>，或者设备到达现场后</w:t>
      </w:r>
      <w:r>
        <w:rPr>
          <w:rFonts w:hint="eastAsia" w:cs="Arial"/>
          <w:sz w:val="24"/>
        </w:rPr>
        <w:t>18</w:t>
      </w:r>
      <w:r>
        <w:rPr>
          <w:rFonts w:hint="eastAsia" w:ascii="宋体" w:hAnsi="宋体" w:cs="Arial"/>
          <w:sz w:val="24"/>
        </w:rPr>
        <w:t>个月，以</w:t>
      </w:r>
      <w:r>
        <w:rPr>
          <w:rFonts w:ascii="宋体" w:hAnsi="宋体" w:cs="Arial"/>
          <w:sz w:val="24"/>
        </w:rPr>
        <w:t>先到为准。</w:t>
      </w:r>
    </w:p>
    <w:p>
      <w:pPr>
        <w:keepNext/>
        <w:spacing w:before="312" w:beforeLines="100" w:after="156" w:afterLines="50"/>
        <w:jc w:val="left"/>
        <w:outlineLvl w:val="1"/>
        <w:rPr>
          <w:rFonts w:ascii="Arial" w:hAnsi="Arial" w:eastAsia="黑体" w:cs="Arial"/>
          <w:bCs/>
          <w:sz w:val="24"/>
        </w:rPr>
      </w:pPr>
      <w:bookmarkStart w:id="70" w:name="_Toc463657519"/>
      <w:bookmarkStart w:id="71" w:name="_Toc464221015"/>
      <w:bookmarkStart w:id="72" w:name="_Toc287280887"/>
      <w:bookmarkStart w:id="73" w:name="_Toc462415872"/>
      <w:r>
        <w:rPr>
          <w:rFonts w:hint="eastAsia"/>
          <w:sz w:val="24"/>
        </w:rPr>
        <w:t>★</w:t>
      </w:r>
      <w:r>
        <w:rPr>
          <w:rFonts w:hint="eastAsia" w:ascii="Arial" w:hAnsi="Arial" w:eastAsia="黑体" w:cs="Arial"/>
          <w:bCs/>
          <w:sz w:val="24"/>
          <w:lang w:val="en-US" w:eastAsia="zh-CN"/>
        </w:rPr>
        <w:t>6.3</w:t>
      </w:r>
      <w:r>
        <w:rPr>
          <w:rFonts w:ascii="Arial" w:hAnsi="Arial" w:eastAsia="黑体" w:cs="Arial"/>
          <w:bCs/>
          <w:sz w:val="24"/>
        </w:rPr>
        <w:t>部件性能保证</w:t>
      </w:r>
      <w:bookmarkEnd w:id="70"/>
      <w:bookmarkEnd w:id="71"/>
      <w:bookmarkEnd w:id="72"/>
      <w:bookmarkEnd w:id="73"/>
    </w:p>
    <w:p>
      <w:pPr>
        <w:numPr>
          <w:ilvl w:val="0"/>
          <w:numId w:val="2"/>
        </w:numPr>
        <w:spacing w:line="360" w:lineRule="auto"/>
        <w:rPr>
          <w:rFonts w:ascii="宋体" w:hAnsi="宋体"/>
          <w:sz w:val="24"/>
        </w:rPr>
      </w:pPr>
      <w:r>
        <w:rPr>
          <w:rFonts w:hint="eastAsia" w:ascii="宋体" w:hAnsi="宋体"/>
          <w:sz w:val="24"/>
        </w:rPr>
        <w:t>成套系统设备主体使用寿命不少于</w:t>
      </w:r>
      <w:r>
        <w:rPr>
          <w:rFonts w:hint="eastAsia" w:ascii="宋体" w:hAnsi="宋体"/>
          <w:sz w:val="24"/>
          <w:lang w:val="en-US" w:eastAsia="zh-CN"/>
        </w:rPr>
        <w:t>10</w:t>
      </w:r>
      <w:r>
        <w:rPr>
          <w:rFonts w:hint="eastAsia" w:ascii="宋体" w:hAnsi="宋体"/>
          <w:sz w:val="24"/>
        </w:rPr>
        <w:t>年。</w:t>
      </w:r>
    </w:p>
    <w:p>
      <w:pPr>
        <w:numPr>
          <w:ilvl w:val="0"/>
          <w:numId w:val="2"/>
        </w:numPr>
        <w:spacing w:line="360" w:lineRule="auto"/>
        <w:rPr>
          <w:rFonts w:ascii="宋体" w:hAnsi="宋体"/>
          <w:sz w:val="24"/>
        </w:rPr>
      </w:pPr>
      <w:r>
        <w:rPr>
          <w:rFonts w:hint="eastAsia" w:ascii="宋体" w:hAnsi="宋体"/>
          <w:sz w:val="24"/>
          <w:lang w:val="en-US" w:eastAsia="zh-CN"/>
        </w:rPr>
        <w:t>配套减速机必须采购</w:t>
      </w:r>
      <w:r>
        <w:rPr>
          <w:rFonts w:hint="eastAsia" w:ascii="Arial" w:hAnsi="Arial" w:eastAsia="宋体" w:cs="Arial"/>
          <w:i w:val="0"/>
          <w:iCs w:val="0"/>
          <w:caps w:val="0"/>
          <w:color w:val="auto"/>
          <w:spacing w:val="0"/>
          <w:sz w:val="24"/>
          <w:szCs w:val="24"/>
          <w:u w:val="none"/>
          <w:shd w:val="clear" w:fill="FFFFFF"/>
        </w:rPr>
        <w:fldChar w:fldCharType="begin"/>
      </w:r>
      <w:r>
        <w:rPr>
          <w:rFonts w:hint="eastAsia" w:ascii="Arial" w:hAnsi="Arial" w:eastAsia="宋体" w:cs="Arial"/>
          <w:i w:val="0"/>
          <w:iCs w:val="0"/>
          <w:caps w:val="0"/>
          <w:color w:val="auto"/>
          <w:spacing w:val="0"/>
          <w:sz w:val="24"/>
          <w:szCs w:val="24"/>
          <w:u w:val="none"/>
          <w:shd w:val="clear" w:fill="FFFFFF"/>
        </w:rPr>
        <w:instrText xml:space="preserve"> HYPERLINK "https://click.simba.taobao.com/cc_im?spm=a230r.1.14.8&amp;p=SEW %BC%F5%CB%D9%BB%FA&amp;s=51603801&amp;k=1133&amp;e=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" \l "detail" \t "https://s.taobao.com/_blank" </w:instrText>
      </w:r>
      <w:r>
        <w:rPr>
          <w:rFonts w:hint="eastAsia" w:ascii="Arial" w:hAnsi="Arial" w:eastAsia="宋体" w:cs="Arial"/>
          <w:i w:val="0"/>
          <w:iCs w:val="0"/>
          <w:caps w:val="0"/>
          <w:color w:val="auto"/>
          <w:spacing w:val="0"/>
          <w:sz w:val="24"/>
          <w:szCs w:val="24"/>
          <w:u w:val="none"/>
          <w:shd w:val="clear" w:fill="FFFFFF"/>
        </w:rPr>
        <w:fldChar w:fldCharType="separate"/>
      </w:r>
      <w:r>
        <w:rPr>
          <w:rStyle w:val="19"/>
          <w:rFonts w:hint="default" w:ascii="Arial" w:hAnsi="Arial" w:eastAsia="宋体" w:cs="Arial"/>
          <w:i w:val="0"/>
          <w:iCs w:val="0"/>
          <w:caps w:val="0"/>
          <w:color w:val="auto"/>
          <w:spacing w:val="0"/>
          <w:sz w:val="24"/>
          <w:szCs w:val="24"/>
          <w:u w:val="none"/>
          <w:shd w:val="clear" w:fill="FFFFFF"/>
        </w:rPr>
        <w:t>SEW赛威德国减速机</w:t>
      </w:r>
      <w:r>
        <w:rPr>
          <w:rFonts w:hint="default" w:ascii="Arial" w:hAnsi="Arial" w:eastAsia="宋体" w:cs="Arial"/>
          <w:i w:val="0"/>
          <w:iCs w:val="0"/>
          <w:caps w:val="0"/>
          <w:color w:val="auto"/>
          <w:spacing w:val="0"/>
          <w:sz w:val="24"/>
          <w:szCs w:val="24"/>
          <w:u w:val="none"/>
          <w:shd w:val="clear" w:fill="FFFFFF"/>
        </w:rPr>
        <w:fldChar w:fldCharType="end"/>
      </w:r>
      <w:r>
        <w:rPr>
          <w:rFonts w:hint="eastAsia" w:ascii="Arial" w:hAnsi="Arial" w:cs="Arial"/>
          <w:i w:val="0"/>
          <w:iCs w:val="0"/>
          <w:caps w:val="0"/>
          <w:color w:val="auto"/>
          <w:spacing w:val="0"/>
          <w:sz w:val="24"/>
          <w:szCs w:val="24"/>
          <w:u w:val="none"/>
          <w:shd w:val="clear" w:fill="FFFFFF"/>
          <w:lang w:val="en-US" w:eastAsia="zh-CN"/>
        </w:rPr>
        <w:t>或者国茂GUOMAO</w:t>
      </w:r>
    </w:p>
    <w:p>
      <w:pPr>
        <w:numPr>
          <w:ilvl w:val="0"/>
          <w:numId w:val="2"/>
        </w:numPr>
        <w:spacing w:line="360" w:lineRule="auto"/>
        <w:rPr>
          <w:rFonts w:ascii="宋体" w:hAnsi="宋体"/>
          <w:sz w:val="24"/>
        </w:rPr>
      </w:pPr>
      <w:r>
        <w:rPr>
          <w:rFonts w:hint="eastAsia" w:ascii="宋体" w:hAnsi="宋体"/>
          <w:sz w:val="24"/>
          <w:lang w:val="en-US" w:eastAsia="zh-CN"/>
        </w:rPr>
        <w:t>配套轴承及轴承座不能采用一体式的，轴承座必须具有良好的防尘、防水特点，轴承需采用知名品牌。</w:t>
      </w:r>
    </w:p>
    <w:p>
      <w:pPr>
        <w:keepNext/>
        <w:spacing w:before="312" w:beforeLines="100" w:after="156" w:afterLines="50"/>
        <w:jc w:val="left"/>
        <w:outlineLvl w:val="1"/>
        <w:rPr>
          <w:rFonts w:ascii="Arial" w:hAnsi="Arial" w:eastAsia="黑体" w:cs="Arial"/>
          <w:bCs/>
          <w:sz w:val="24"/>
        </w:rPr>
      </w:pPr>
      <w:bookmarkStart w:id="74" w:name="_Toc462415873"/>
      <w:bookmarkStart w:id="75" w:name="_Toc463657520"/>
      <w:bookmarkStart w:id="76" w:name="_Toc287280888"/>
      <w:bookmarkStart w:id="77" w:name="_Toc464221016"/>
      <w:r>
        <w:rPr>
          <w:rFonts w:hint="eastAsia" w:ascii="Arial" w:hAnsi="Arial" w:eastAsia="黑体" w:cs="Arial"/>
          <w:bCs/>
          <w:sz w:val="24"/>
          <w:lang w:val="en-US" w:eastAsia="zh-CN"/>
        </w:rPr>
        <w:t>6.4</w:t>
      </w:r>
      <w:r>
        <w:rPr>
          <w:rFonts w:ascii="Arial" w:hAnsi="Arial" w:eastAsia="黑体" w:cs="Arial"/>
          <w:bCs/>
          <w:sz w:val="24"/>
        </w:rPr>
        <w:t>质量保证</w:t>
      </w:r>
      <w:bookmarkEnd w:id="74"/>
      <w:bookmarkEnd w:id="75"/>
      <w:bookmarkEnd w:id="76"/>
      <w:bookmarkEnd w:id="77"/>
    </w:p>
    <w:p>
      <w:pPr>
        <w:spacing w:line="360" w:lineRule="auto"/>
        <w:ind w:firstLine="480" w:firstLineChars="200"/>
        <w:rPr>
          <w:rFonts w:ascii="宋体" w:hAnsi="宋体" w:cs="Arial"/>
          <w:sz w:val="24"/>
        </w:rPr>
      </w:pPr>
      <w:r>
        <w:rPr>
          <w:rFonts w:hint="eastAsia" w:ascii="宋体" w:hAnsi="宋体" w:cs="Arial"/>
          <w:sz w:val="24"/>
          <w:lang w:val="en-US" w:eastAsia="zh-CN"/>
        </w:rPr>
        <w:t>1</w:t>
      </w:r>
      <w:r>
        <w:rPr>
          <w:rFonts w:hint="eastAsia" w:ascii="宋体" w:hAnsi="宋体" w:cs="Arial"/>
          <w:sz w:val="24"/>
        </w:rPr>
        <w:t>）</w:t>
      </w:r>
      <w:r>
        <w:rPr>
          <w:rFonts w:ascii="宋体" w:hAnsi="宋体" w:cs="Arial"/>
          <w:sz w:val="24"/>
        </w:rPr>
        <w:t>主要零部件的材料，将有材料质量保证书或试验报告；</w:t>
      </w:r>
    </w:p>
    <w:p>
      <w:pPr>
        <w:spacing w:line="360" w:lineRule="auto"/>
        <w:ind w:firstLine="480" w:firstLineChars="200"/>
        <w:rPr>
          <w:rFonts w:ascii="宋体" w:hAnsi="宋体" w:cs="Arial"/>
          <w:sz w:val="24"/>
        </w:rPr>
      </w:pPr>
      <w:r>
        <w:rPr>
          <w:rFonts w:hint="eastAsia" w:ascii="宋体" w:hAnsi="宋体" w:cs="Arial"/>
          <w:sz w:val="24"/>
          <w:lang w:val="en-US" w:eastAsia="zh-CN"/>
        </w:rPr>
        <w:t>2</w:t>
      </w:r>
      <w:r>
        <w:rPr>
          <w:rFonts w:hint="eastAsia" w:ascii="宋体" w:hAnsi="宋体" w:cs="Arial"/>
          <w:sz w:val="24"/>
        </w:rPr>
        <w:t>）供</w:t>
      </w:r>
      <w:r>
        <w:rPr>
          <w:rFonts w:ascii="宋体" w:hAnsi="宋体" w:cs="Arial"/>
          <w:sz w:val="24"/>
        </w:rPr>
        <w:t>方将严格遵照</w:t>
      </w:r>
      <w:r>
        <w:rPr>
          <w:rFonts w:cs="Arial"/>
          <w:sz w:val="24"/>
        </w:rPr>
        <w:t>GB</w:t>
      </w:r>
      <w:r>
        <w:rPr>
          <w:rFonts w:ascii="宋体" w:hAnsi="宋体" w:cs="Arial"/>
          <w:sz w:val="24"/>
        </w:rPr>
        <w:t>/</w:t>
      </w:r>
      <w:r>
        <w:rPr>
          <w:rFonts w:cs="Arial"/>
          <w:sz w:val="24"/>
        </w:rPr>
        <w:t>T</w:t>
      </w:r>
      <w:r>
        <w:rPr>
          <w:rFonts w:ascii="宋体" w:hAnsi="宋体" w:cs="Arial"/>
          <w:sz w:val="24"/>
        </w:rPr>
        <w:t>－</w:t>
      </w:r>
      <w:r>
        <w:rPr>
          <w:rFonts w:cs="Arial"/>
          <w:sz w:val="24"/>
        </w:rPr>
        <w:t>19000</w:t>
      </w:r>
      <w:r>
        <w:rPr>
          <w:rFonts w:ascii="宋体" w:hAnsi="宋体" w:cs="Arial"/>
          <w:sz w:val="24"/>
        </w:rPr>
        <w:t>设计、开发、生产、安装和服务的质量保证模式及</w:t>
      </w:r>
      <w:r>
        <w:rPr>
          <w:rFonts w:cs="Arial"/>
          <w:sz w:val="24"/>
        </w:rPr>
        <w:t>ISO9000</w:t>
      </w:r>
      <w:r>
        <w:rPr>
          <w:rFonts w:ascii="宋体" w:hAnsi="宋体" w:cs="Arial"/>
          <w:sz w:val="24"/>
        </w:rPr>
        <w:t>系列国际质量认证体系；</w:t>
      </w:r>
    </w:p>
    <w:p>
      <w:pPr>
        <w:spacing w:line="360" w:lineRule="auto"/>
        <w:ind w:firstLine="480" w:firstLineChars="200"/>
        <w:rPr>
          <w:rFonts w:ascii="宋体" w:hAnsi="宋体" w:cs="Arial"/>
          <w:sz w:val="24"/>
        </w:rPr>
      </w:pPr>
      <w:r>
        <w:rPr>
          <w:rFonts w:hint="eastAsia" w:ascii="宋体" w:hAnsi="宋体" w:cs="Arial"/>
          <w:sz w:val="24"/>
          <w:lang w:val="en-US" w:eastAsia="zh-CN"/>
        </w:rPr>
        <w:t>3</w:t>
      </w:r>
      <w:r>
        <w:rPr>
          <w:rFonts w:hint="eastAsia" w:ascii="宋体" w:hAnsi="宋体" w:cs="Arial"/>
          <w:sz w:val="24"/>
        </w:rPr>
        <w:t>）供</w:t>
      </w:r>
      <w:r>
        <w:rPr>
          <w:rFonts w:ascii="宋体" w:hAnsi="宋体" w:cs="Arial"/>
          <w:sz w:val="24"/>
        </w:rPr>
        <w:t>方将提出施工现场安装注意事项及安装质量保证方法；</w:t>
      </w:r>
    </w:p>
    <w:p>
      <w:pPr>
        <w:keepNext/>
        <w:spacing w:before="312" w:beforeLines="100" w:after="156" w:afterLines="50"/>
        <w:jc w:val="left"/>
        <w:outlineLvl w:val="1"/>
        <w:rPr>
          <w:rFonts w:ascii="Arial" w:hAnsi="Arial" w:eastAsia="黑体" w:cs="Arial"/>
          <w:bCs/>
          <w:sz w:val="24"/>
        </w:rPr>
      </w:pPr>
      <w:bookmarkStart w:id="78" w:name="_Toc286667850"/>
      <w:bookmarkStart w:id="79" w:name="_Toc287280889"/>
      <w:bookmarkStart w:id="80" w:name="_Toc464221017"/>
      <w:bookmarkStart w:id="81" w:name="_Toc463657521"/>
      <w:bookmarkStart w:id="82" w:name="_Toc286757660"/>
      <w:bookmarkStart w:id="83" w:name="_Toc286416616"/>
      <w:bookmarkStart w:id="84" w:name="_Toc286758648"/>
      <w:bookmarkStart w:id="85" w:name="_Toc462415874"/>
      <w:r>
        <w:rPr>
          <w:rFonts w:hint="eastAsia" w:ascii="Arial" w:hAnsi="Arial" w:eastAsia="黑体" w:cs="Arial"/>
          <w:bCs/>
          <w:sz w:val="24"/>
          <w:lang w:val="en-US" w:eastAsia="zh-CN"/>
        </w:rPr>
        <w:t>6.5</w:t>
      </w:r>
      <w:r>
        <w:rPr>
          <w:rFonts w:hint="eastAsia" w:ascii="Arial" w:hAnsi="Arial" w:eastAsia="黑体" w:cs="Arial"/>
          <w:bCs/>
          <w:sz w:val="24"/>
        </w:rPr>
        <w:t>出厂前检验</w:t>
      </w:r>
      <w:bookmarkEnd w:id="78"/>
      <w:bookmarkEnd w:id="79"/>
      <w:bookmarkEnd w:id="80"/>
      <w:bookmarkEnd w:id="81"/>
      <w:bookmarkEnd w:id="82"/>
      <w:bookmarkEnd w:id="83"/>
      <w:bookmarkEnd w:id="84"/>
      <w:bookmarkEnd w:id="85"/>
    </w:p>
    <w:p>
      <w:pPr>
        <w:spacing w:line="360" w:lineRule="auto"/>
        <w:ind w:firstLine="480" w:firstLineChars="200"/>
        <w:rPr>
          <w:rFonts w:ascii="宋体" w:hAnsi="宋体" w:cs="Arial"/>
          <w:sz w:val="24"/>
        </w:rPr>
      </w:pPr>
      <w:r>
        <w:rPr>
          <w:rFonts w:hint="eastAsia" w:ascii="宋体" w:hAnsi="宋体"/>
          <w:sz w:val="24"/>
        </w:rPr>
        <w:t>检验地点在乙方工厂，双方参加。出厂前的检验或试验至少将包括下列项目：</w:t>
      </w:r>
    </w:p>
    <w:p>
      <w:pPr>
        <w:numPr>
          <w:ilvl w:val="0"/>
          <w:numId w:val="3"/>
        </w:numPr>
        <w:spacing w:line="360" w:lineRule="auto"/>
        <w:rPr>
          <w:rFonts w:ascii="宋体" w:hAnsi="宋体" w:cs="Arial"/>
          <w:sz w:val="24"/>
        </w:rPr>
      </w:pPr>
      <w:r>
        <w:rPr>
          <w:rFonts w:hint="eastAsia" w:ascii="宋体" w:hAnsi="宋体" w:cs="Arial"/>
          <w:sz w:val="24"/>
        </w:rPr>
        <w:t>主受力件的材料试验（包括机械性能、缺陷检查等</w:t>
      </w:r>
      <w:r>
        <w:rPr>
          <w:rFonts w:ascii="宋体" w:hAnsi="宋体" w:cs="Arial"/>
          <w:sz w:val="24"/>
        </w:rPr>
        <w:t>）</w:t>
      </w:r>
      <w:r>
        <w:rPr>
          <w:rFonts w:hint="eastAsia" w:ascii="宋体" w:hAnsi="宋体" w:cs="Arial"/>
          <w:sz w:val="24"/>
        </w:rPr>
        <w:t>；</w:t>
      </w:r>
    </w:p>
    <w:p>
      <w:pPr>
        <w:numPr>
          <w:ilvl w:val="0"/>
          <w:numId w:val="3"/>
        </w:numPr>
        <w:spacing w:line="360" w:lineRule="auto"/>
        <w:rPr>
          <w:rFonts w:ascii="宋体" w:hAnsi="宋体" w:cs="Arial"/>
          <w:sz w:val="24"/>
        </w:rPr>
      </w:pPr>
      <w:r>
        <w:rPr>
          <w:rFonts w:hint="eastAsia" w:ascii="宋体" w:hAnsi="宋体" w:cs="Arial"/>
          <w:sz w:val="24"/>
        </w:rPr>
        <w:t>主受力结构的焊缝检查；</w:t>
      </w:r>
    </w:p>
    <w:p>
      <w:pPr>
        <w:numPr>
          <w:ilvl w:val="0"/>
          <w:numId w:val="3"/>
        </w:numPr>
        <w:spacing w:line="360" w:lineRule="auto"/>
        <w:rPr>
          <w:rFonts w:ascii="宋体" w:hAnsi="宋体" w:cs="Arial"/>
          <w:sz w:val="24"/>
        </w:rPr>
      </w:pPr>
      <w:r>
        <w:rPr>
          <w:rFonts w:hint="eastAsia" w:ascii="宋体" w:hAnsi="宋体" w:cs="Arial"/>
          <w:sz w:val="24"/>
        </w:rPr>
        <w:t>各密封件的密封性能检查；</w:t>
      </w:r>
    </w:p>
    <w:p>
      <w:pPr>
        <w:numPr>
          <w:ilvl w:val="0"/>
          <w:numId w:val="3"/>
        </w:numPr>
        <w:spacing w:line="360" w:lineRule="auto"/>
        <w:rPr>
          <w:rFonts w:ascii="宋体" w:hAnsi="宋体" w:cs="Arial"/>
          <w:sz w:val="24"/>
        </w:rPr>
      </w:pPr>
      <w:r>
        <w:rPr>
          <w:rFonts w:hint="eastAsia" w:ascii="宋体" w:hAnsi="宋体" w:cs="Arial"/>
          <w:sz w:val="24"/>
        </w:rPr>
        <w:t>各主要机构将进行组装试验；</w:t>
      </w:r>
    </w:p>
    <w:p>
      <w:pPr>
        <w:numPr>
          <w:ilvl w:val="0"/>
          <w:numId w:val="3"/>
        </w:numPr>
        <w:spacing w:line="360" w:lineRule="auto"/>
        <w:rPr>
          <w:rFonts w:ascii="宋体" w:hAnsi="宋体" w:cs="Arial"/>
          <w:sz w:val="24"/>
        </w:rPr>
      </w:pPr>
      <w:r>
        <w:rPr>
          <w:rFonts w:hint="eastAsia" w:ascii="宋体" w:hAnsi="宋体" w:cs="Arial"/>
          <w:sz w:val="24"/>
        </w:rPr>
        <w:t>电气元器件的绝缘性能及可靠性检查；</w:t>
      </w:r>
    </w:p>
    <w:p>
      <w:pPr>
        <w:numPr>
          <w:ilvl w:val="0"/>
          <w:numId w:val="3"/>
        </w:numPr>
        <w:spacing w:line="360" w:lineRule="auto"/>
        <w:rPr>
          <w:rFonts w:ascii="宋体" w:hAnsi="宋体" w:cs="Arial"/>
          <w:sz w:val="24"/>
        </w:rPr>
      </w:pPr>
      <w:r>
        <w:rPr>
          <w:rFonts w:hint="eastAsia" w:ascii="宋体" w:hAnsi="宋体" w:cs="Arial"/>
          <w:sz w:val="24"/>
        </w:rPr>
        <w:t>电动机械、电气方面的性能验证；</w:t>
      </w:r>
    </w:p>
    <w:p>
      <w:pPr>
        <w:numPr>
          <w:ilvl w:val="0"/>
          <w:numId w:val="3"/>
        </w:numPr>
        <w:spacing w:line="360" w:lineRule="auto"/>
        <w:rPr>
          <w:rFonts w:ascii="Arial" w:hAnsi="Arial" w:eastAsia="黑体" w:cs="Arial"/>
          <w:bCs/>
          <w:sz w:val="24"/>
        </w:rPr>
      </w:pPr>
      <w:r>
        <w:rPr>
          <w:rFonts w:hint="eastAsia" w:ascii="宋体" w:hAnsi="宋体" w:cs="Arial"/>
          <w:sz w:val="24"/>
        </w:rPr>
        <w:t>控制元件的可靠性验证；</w:t>
      </w:r>
      <w:bookmarkStart w:id="86" w:name="_Toc463657522"/>
      <w:bookmarkStart w:id="87" w:name="_Toc464221018"/>
      <w:bookmarkStart w:id="88" w:name="_Toc286758649"/>
      <w:bookmarkStart w:id="89" w:name="_Toc462415875"/>
      <w:bookmarkStart w:id="90" w:name="_Toc286757661"/>
      <w:bookmarkStart w:id="91" w:name="_Toc287280890"/>
      <w:bookmarkStart w:id="92" w:name="_Toc286667851"/>
      <w:bookmarkStart w:id="93" w:name="_Toc286416617"/>
    </w:p>
    <w:p>
      <w:pPr>
        <w:numPr>
          <w:ilvl w:val="0"/>
          <w:numId w:val="3"/>
        </w:numPr>
        <w:spacing w:line="360" w:lineRule="auto"/>
        <w:rPr>
          <w:rFonts w:ascii="Arial" w:hAnsi="Arial" w:eastAsia="黑体" w:cs="Arial"/>
          <w:bCs/>
          <w:sz w:val="24"/>
        </w:rPr>
      </w:pPr>
      <w:r>
        <w:rPr>
          <w:rFonts w:hint="eastAsia" w:ascii="宋体" w:hAnsi="宋体"/>
          <w:color w:val="auto"/>
          <w:sz w:val="24"/>
          <w:szCs w:val="24"/>
        </w:rPr>
        <w:t>激振器轴承温度</w:t>
      </w:r>
      <w:r>
        <w:rPr>
          <w:rFonts w:hint="eastAsia" w:ascii="宋体" w:hAnsi="宋体"/>
          <w:color w:val="auto"/>
          <w:sz w:val="24"/>
          <w:szCs w:val="24"/>
          <w:lang w:val="en-US" w:eastAsia="zh-CN"/>
        </w:rPr>
        <w:t>检查</w:t>
      </w:r>
      <w:r>
        <w:rPr>
          <w:rFonts w:hint="eastAsia" w:ascii="宋体" w:hAnsi="宋体"/>
          <w:color w:val="auto"/>
          <w:sz w:val="24"/>
          <w:szCs w:val="24"/>
        </w:rPr>
        <w:t>：要求轴承温度最高不超过</w:t>
      </w:r>
      <w:r>
        <w:rPr>
          <w:rFonts w:ascii="宋体" w:hAnsi="宋体"/>
          <w:color w:val="auto"/>
          <w:sz w:val="24"/>
          <w:szCs w:val="24"/>
        </w:rPr>
        <w:t>75</w:t>
      </w:r>
      <w:r>
        <w:rPr>
          <w:rFonts w:hint="eastAsia" w:ascii="宋体" w:hAnsi="宋体"/>
          <w:color w:val="auto"/>
          <w:sz w:val="24"/>
          <w:szCs w:val="24"/>
        </w:rPr>
        <w:t>℃</w:t>
      </w:r>
      <w:r>
        <w:rPr>
          <w:rFonts w:ascii="宋体"/>
          <w:color w:val="auto"/>
          <w:sz w:val="24"/>
          <w:szCs w:val="24"/>
        </w:rPr>
        <w:t>,</w:t>
      </w:r>
      <w:r>
        <w:rPr>
          <w:rFonts w:hint="eastAsia" w:ascii="宋体" w:hAnsi="宋体"/>
          <w:color w:val="auto"/>
          <w:sz w:val="24"/>
          <w:szCs w:val="24"/>
        </w:rPr>
        <w:t>温升不超过</w:t>
      </w:r>
      <w:r>
        <w:rPr>
          <w:rFonts w:ascii="宋体" w:hAnsi="宋体"/>
          <w:color w:val="auto"/>
          <w:sz w:val="24"/>
          <w:szCs w:val="24"/>
        </w:rPr>
        <w:t>40</w:t>
      </w:r>
      <w:r>
        <w:rPr>
          <w:rFonts w:hint="eastAsia" w:ascii="宋体" w:hAnsi="宋体"/>
          <w:color w:val="auto"/>
          <w:sz w:val="24"/>
          <w:szCs w:val="24"/>
        </w:rPr>
        <w:t>℃。</w:t>
      </w:r>
    </w:p>
    <w:p>
      <w:pPr>
        <w:numPr>
          <w:ilvl w:val="0"/>
          <w:numId w:val="0"/>
        </w:numPr>
        <w:spacing w:line="360" w:lineRule="auto"/>
        <w:ind w:left="480" w:leftChars="0"/>
        <w:rPr>
          <w:rFonts w:hint="eastAsia" w:ascii="Arial" w:hAnsi="Arial" w:eastAsia="黑体" w:cs="Arial"/>
          <w:bCs/>
          <w:sz w:val="24"/>
          <w:lang w:val="en-US" w:eastAsia="zh-CN"/>
        </w:rPr>
      </w:pPr>
    </w:p>
    <w:p>
      <w:pPr>
        <w:numPr>
          <w:ilvl w:val="0"/>
          <w:numId w:val="0"/>
        </w:numPr>
        <w:spacing w:line="360" w:lineRule="auto"/>
        <w:rPr>
          <w:rFonts w:ascii="Arial" w:hAnsi="Arial" w:eastAsia="黑体" w:cs="Arial"/>
          <w:bCs/>
          <w:sz w:val="24"/>
        </w:rPr>
      </w:pPr>
      <w:r>
        <w:rPr>
          <w:rFonts w:hint="eastAsia" w:ascii="Arial" w:hAnsi="Arial" w:eastAsia="黑体" w:cs="Arial"/>
          <w:bCs/>
          <w:sz w:val="24"/>
          <w:lang w:val="en-US" w:eastAsia="zh-CN"/>
        </w:rPr>
        <w:t>6.6</w:t>
      </w:r>
      <w:r>
        <w:rPr>
          <w:rFonts w:hint="eastAsia" w:ascii="Arial" w:hAnsi="Arial" w:eastAsia="黑体" w:cs="Arial"/>
          <w:bCs/>
          <w:sz w:val="24"/>
        </w:rPr>
        <w:t>货到现场验收</w:t>
      </w:r>
      <w:bookmarkEnd w:id="86"/>
      <w:bookmarkEnd w:id="87"/>
      <w:bookmarkEnd w:id="88"/>
      <w:bookmarkEnd w:id="89"/>
      <w:bookmarkEnd w:id="90"/>
      <w:bookmarkEnd w:id="91"/>
      <w:bookmarkEnd w:id="92"/>
      <w:bookmarkEnd w:id="93"/>
    </w:p>
    <w:p>
      <w:pPr>
        <w:spacing w:line="360" w:lineRule="auto"/>
        <w:ind w:firstLine="480" w:firstLineChars="200"/>
        <w:rPr>
          <w:rFonts w:ascii="宋体" w:hAnsi="宋体"/>
          <w:sz w:val="24"/>
        </w:rPr>
      </w:pPr>
      <w:r>
        <w:rPr>
          <w:rFonts w:hint="eastAsia" w:ascii="宋体" w:hAnsi="宋体"/>
          <w:sz w:val="24"/>
        </w:rPr>
        <w:t xml:space="preserve">验收地点在甲方现场，双方参加，按照发货清单核对数量及检验设备外观损坏和腐蚀情况，出具验收报告并由双方签字确认。 </w:t>
      </w:r>
    </w:p>
    <w:p>
      <w:pPr>
        <w:keepNext/>
        <w:spacing w:before="312" w:beforeLines="100" w:after="156" w:afterLines="50"/>
        <w:jc w:val="left"/>
        <w:outlineLvl w:val="1"/>
        <w:rPr>
          <w:rFonts w:ascii="Arial" w:hAnsi="Arial" w:eastAsia="黑体" w:cs="Arial"/>
          <w:bCs/>
          <w:sz w:val="24"/>
        </w:rPr>
      </w:pPr>
      <w:bookmarkStart w:id="94" w:name="_Toc464221019"/>
      <w:bookmarkStart w:id="95" w:name="_Toc286758650"/>
      <w:bookmarkStart w:id="96" w:name="_Toc462415876"/>
      <w:bookmarkStart w:id="97" w:name="_Toc287280891"/>
      <w:bookmarkStart w:id="98" w:name="_Toc463657523"/>
      <w:bookmarkStart w:id="99" w:name="_Toc286757662"/>
      <w:bookmarkStart w:id="100" w:name="_Toc286416618"/>
      <w:bookmarkStart w:id="101" w:name="_Toc286667852"/>
      <w:r>
        <w:rPr>
          <w:rFonts w:hint="eastAsia" w:ascii="Arial" w:hAnsi="Arial" w:eastAsia="黑体" w:cs="Arial"/>
          <w:bCs/>
          <w:sz w:val="24"/>
          <w:lang w:val="en-US" w:eastAsia="zh-CN"/>
        </w:rPr>
        <w:t>6.7</w:t>
      </w:r>
      <w:r>
        <w:rPr>
          <w:rFonts w:hint="eastAsia" w:ascii="Arial" w:hAnsi="Arial" w:eastAsia="黑体" w:cs="Arial"/>
          <w:bCs/>
          <w:sz w:val="24"/>
        </w:rPr>
        <w:t>设备性能考核及验收</w:t>
      </w:r>
      <w:bookmarkEnd w:id="94"/>
      <w:bookmarkEnd w:id="95"/>
      <w:bookmarkEnd w:id="96"/>
      <w:bookmarkEnd w:id="97"/>
      <w:bookmarkEnd w:id="98"/>
      <w:bookmarkEnd w:id="99"/>
      <w:bookmarkEnd w:id="100"/>
      <w:bookmarkEnd w:id="101"/>
    </w:p>
    <w:p>
      <w:pPr>
        <w:spacing w:line="360" w:lineRule="auto"/>
        <w:ind w:firstLine="480" w:firstLineChars="200"/>
        <w:rPr>
          <w:rFonts w:ascii="宋体" w:hAnsi="宋体"/>
          <w:sz w:val="24"/>
        </w:rPr>
      </w:pPr>
      <w:r>
        <w:rPr>
          <w:rFonts w:hint="eastAsia" w:ascii="宋体" w:hAnsi="宋体"/>
          <w:sz w:val="24"/>
        </w:rPr>
        <w:t>性能验收试验应在系统全部设备运转稳定，达到额定出力和精度要求连续稳定运行</w:t>
      </w:r>
      <w:r>
        <w:rPr>
          <w:rFonts w:ascii="宋体" w:hAnsi="宋体"/>
          <w:sz w:val="24"/>
        </w:rPr>
        <w:t>,</w:t>
      </w:r>
      <w:r>
        <w:rPr>
          <w:rFonts w:hint="eastAsia" w:ascii="宋体" w:hAnsi="宋体"/>
          <w:sz w:val="24"/>
        </w:rPr>
        <w:t>这项验收试验由甲方负责，乙方参加。性能验收的地点为甲方现场。性能验收试验的内容为技术协议书中规定的系统各项性能保证值指标。</w:t>
      </w:r>
    </w:p>
    <w:p>
      <w:pPr>
        <w:spacing w:line="360" w:lineRule="auto"/>
        <w:ind w:firstLine="480" w:firstLineChars="200"/>
        <w:rPr>
          <w:rFonts w:ascii="宋体" w:hAnsi="宋体"/>
          <w:sz w:val="24"/>
        </w:rPr>
      </w:pPr>
      <w:r>
        <w:rPr>
          <w:rFonts w:hint="eastAsia" w:ascii="宋体" w:hAnsi="宋体"/>
          <w:sz w:val="24"/>
        </w:rPr>
        <w:t>性能验收试验完毕，每套合同设备达到技术协议所规定的各项性能保证值指标后，甲方应在</w:t>
      </w:r>
      <w:r>
        <w:rPr>
          <w:sz w:val="24"/>
        </w:rPr>
        <w:t>10</w:t>
      </w:r>
      <w:r>
        <w:rPr>
          <w:rFonts w:hint="eastAsia" w:ascii="宋体" w:hAnsi="宋体"/>
          <w:sz w:val="24"/>
        </w:rPr>
        <w:t>天内签署由乙方会签的本合同设备初步验收证书一式二份，双方各执一份。</w:t>
      </w:r>
    </w:p>
    <w:p>
      <w:pPr>
        <w:spacing w:line="360" w:lineRule="auto"/>
        <w:rPr>
          <w:rFonts w:ascii="宋体" w:hAnsi="宋体"/>
          <w:sz w:val="24"/>
        </w:rPr>
      </w:pPr>
      <w:r>
        <w:rPr>
          <w:rFonts w:hint="eastAsia" w:ascii="宋体" w:hAnsi="宋体"/>
          <w:sz w:val="24"/>
        </w:rPr>
        <w:t>在不影响本合同设备安全、可靠运行的条件下，如有个别微小缺陷，乙方在双方商定的时间内免费修理上述的缺陷，甲方则可同意签署初步验收证书。</w:t>
      </w:r>
    </w:p>
    <w:p>
      <w:pPr>
        <w:spacing w:line="360" w:lineRule="auto"/>
        <w:ind w:firstLine="480" w:firstLineChars="200"/>
      </w:pPr>
      <w:r>
        <w:rPr>
          <w:rFonts w:hint="eastAsia" w:ascii="宋体" w:hAnsi="宋体"/>
          <w:sz w:val="24"/>
        </w:rPr>
        <w:t>验收证书只是证明乙方所提供的合同设备性能和参数截至出具验收证明时可以按合同要求予以接受，但不能视为乙方对合同设备中存在的可能引起合同设备损坏的潜在缺陷所应负的责任解除的证据。潜在缺陷指设备的隐患在正常情况下不能在制造过程中被发现，乙方对纠正潜在缺陷所应负的责任。</w:t>
      </w:r>
    </w:p>
    <w:p>
      <w:pPr>
        <w:pStyle w:val="2"/>
        <w:keepLines w:val="0"/>
        <w:widowControl/>
        <w:numPr>
          <w:ilvl w:val="0"/>
          <w:numId w:val="0"/>
        </w:numPr>
        <w:tabs>
          <w:tab w:val="left" w:pos="420"/>
        </w:tabs>
        <w:spacing w:before="0" w:line="360" w:lineRule="auto"/>
        <w:ind w:leftChars="0"/>
        <w:jc w:val="left"/>
        <w:rPr>
          <w:rFonts w:hint="eastAsia" w:ascii="宋体" w:hAnsi="宋体" w:eastAsia="宋体" w:cs="宋体"/>
          <w:b/>
          <w:bCs w:val="0"/>
          <w:sz w:val="28"/>
          <w:szCs w:val="28"/>
          <w:lang w:val="en-US" w:eastAsia="zh-CN"/>
        </w:rPr>
      </w:pPr>
      <w:bookmarkStart w:id="102" w:name="_Toc463657524"/>
      <w:bookmarkStart w:id="103" w:name="_Toc464230169"/>
      <w:bookmarkStart w:id="104" w:name="_Toc287280892"/>
      <w:bookmarkStart w:id="105" w:name="_Toc286758651"/>
      <w:bookmarkStart w:id="106" w:name="_Toc462415877"/>
    </w:p>
    <w:p>
      <w:pPr>
        <w:pStyle w:val="2"/>
        <w:keepLines w:val="0"/>
        <w:widowControl/>
        <w:numPr>
          <w:ilvl w:val="0"/>
          <w:numId w:val="0"/>
        </w:numPr>
        <w:tabs>
          <w:tab w:val="left" w:pos="420"/>
        </w:tabs>
        <w:spacing w:before="0" w:line="360" w:lineRule="auto"/>
        <w:ind w:leftChars="0"/>
        <w:jc w:val="left"/>
        <w:rPr>
          <w:rFonts w:hint="eastAsia" w:ascii="宋体" w:hAnsi="宋体" w:eastAsia="宋体" w:cs="宋体"/>
          <w:b/>
          <w:bCs w:val="0"/>
          <w:sz w:val="28"/>
          <w:szCs w:val="28"/>
          <w:lang w:val="en-US" w:eastAsia="zh-CN"/>
        </w:rPr>
      </w:pPr>
    </w:p>
    <w:p>
      <w:pPr>
        <w:pStyle w:val="2"/>
        <w:keepLines w:val="0"/>
        <w:widowControl/>
        <w:numPr>
          <w:ilvl w:val="0"/>
          <w:numId w:val="0"/>
        </w:numPr>
        <w:tabs>
          <w:tab w:val="left" w:pos="420"/>
        </w:tabs>
        <w:spacing w:before="0" w:line="360" w:lineRule="auto"/>
        <w:ind w:leftChars="0"/>
        <w:jc w:val="left"/>
        <w:rPr>
          <w:rFonts w:hint="eastAsia" w:ascii="宋体" w:hAnsi="宋体" w:eastAsia="宋体" w:cs="宋体"/>
          <w:b/>
          <w:bCs w:val="0"/>
          <w:sz w:val="28"/>
          <w:szCs w:val="28"/>
          <w:lang w:val="en-US" w:eastAsia="zh-CN"/>
        </w:rPr>
      </w:pPr>
    </w:p>
    <w:p>
      <w:pPr>
        <w:pStyle w:val="2"/>
        <w:keepLines w:val="0"/>
        <w:widowControl/>
        <w:numPr>
          <w:ilvl w:val="0"/>
          <w:numId w:val="0"/>
        </w:numPr>
        <w:tabs>
          <w:tab w:val="left" w:pos="420"/>
        </w:tabs>
        <w:spacing w:before="0" w:line="360" w:lineRule="auto"/>
        <w:ind w:leftChars="0"/>
        <w:jc w:val="left"/>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7.</w:t>
      </w:r>
      <w:r>
        <w:rPr>
          <w:rFonts w:hint="eastAsia" w:ascii="宋体" w:hAnsi="宋体" w:eastAsia="宋体" w:cs="宋体"/>
          <w:b/>
          <w:bCs w:val="0"/>
          <w:sz w:val="28"/>
          <w:szCs w:val="28"/>
        </w:rPr>
        <w:t>供货周期</w:t>
      </w:r>
      <w:bookmarkStart w:id="107" w:name="_Toc156119069"/>
      <w:bookmarkStart w:id="108" w:name="_Toc286757663"/>
      <w:bookmarkStart w:id="109" w:name="_Toc286416619"/>
      <w:bookmarkStart w:id="110" w:name="_Toc286667853"/>
      <w:r>
        <w:rPr>
          <w:rFonts w:hint="eastAsia" w:ascii="宋体" w:hAnsi="宋体" w:eastAsia="宋体" w:cs="宋体"/>
          <w:b/>
          <w:bCs w:val="0"/>
          <w:sz w:val="28"/>
          <w:szCs w:val="28"/>
        </w:rPr>
        <w:t>设备外观、包装、运输及储存</w:t>
      </w:r>
      <w:bookmarkEnd w:id="102"/>
      <w:bookmarkEnd w:id="103"/>
      <w:bookmarkEnd w:id="104"/>
      <w:bookmarkEnd w:id="105"/>
      <w:bookmarkEnd w:id="106"/>
      <w:bookmarkEnd w:id="107"/>
      <w:bookmarkEnd w:id="108"/>
      <w:bookmarkEnd w:id="109"/>
      <w:bookmarkEnd w:id="110"/>
    </w:p>
    <w:p>
      <w:pPr>
        <w:keepNext/>
        <w:spacing w:before="312" w:beforeLines="100" w:after="156" w:afterLines="50"/>
        <w:jc w:val="left"/>
        <w:outlineLvl w:val="1"/>
        <w:rPr>
          <w:rFonts w:ascii="Arial" w:hAnsi="Arial" w:eastAsia="黑体" w:cs="Arial"/>
          <w:bCs/>
          <w:sz w:val="24"/>
        </w:rPr>
      </w:pPr>
      <w:bookmarkStart w:id="111" w:name="_Toc286757664"/>
      <w:bookmarkStart w:id="112" w:name="_Toc286758652"/>
      <w:bookmarkStart w:id="113" w:name="_Toc286667854"/>
      <w:bookmarkStart w:id="114" w:name="_Toc463657525"/>
      <w:bookmarkStart w:id="115" w:name="_Toc462415878"/>
      <w:bookmarkStart w:id="116" w:name="_Toc464221021"/>
      <w:bookmarkStart w:id="117" w:name="_Toc286416620"/>
      <w:bookmarkStart w:id="118" w:name="_Toc287280893"/>
      <w:r>
        <w:rPr>
          <w:rFonts w:hint="eastAsia" w:ascii="Arial" w:hAnsi="Arial" w:eastAsia="黑体" w:cs="Arial"/>
          <w:bCs/>
          <w:sz w:val="24"/>
          <w:lang w:val="en-US" w:eastAsia="zh-CN"/>
        </w:rPr>
        <w:t>7.1</w:t>
      </w:r>
      <w:r>
        <w:rPr>
          <w:rFonts w:hint="eastAsia" w:ascii="Arial" w:hAnsi="Arial" w:eastAsia="黑体" w:cs="Arial"/>
          <w:bCs/>
          <w:sz w:val="24"/>
        </w:rPr>
        <w:t>设备外观</w:t>
      </w:r>
      <w:bookmarkEnd w:id="111"/>
      <w:bookmarkEnd w:id="112"/>
      <w:bookmarkEnd w:id="113"/>
      <w:bookmarkEnd w:id="114"/>
      <w:bookmarkEnd w:id="115"/>
      <w:bookmarkEnd w:id="116"/>
      <w:bookmarkEnd w:id="117"/>
      <w:bookmarkEnd w:id="118"/>
    </w:p>
    <w:p>
      <w:pPr>
        <w:spacing w:line="360" w:lineRule="auto"/>
        <w:ind w:firstLine="480" w:firstLineChars="200"/>
        <w:rPr>
          <w:bCs/>
          <w:sz w:val="24"/>
        </w:rPr>
      </w:pPr>
      <w:r>
        <w:rPr>
          <w:bCs/>
          <w:sz w:val="24"/>
        </w:rPr>
        <w:t>设备出厂前将完成设备除锈、</w:t>
      </w:r>
      <w:r>
        <w:rPr>
          <w:rFonts w:hint="eastAsia"/>
          <w:bCs/>
          <w:sz w:val="24"/>
          <w:lang w:val="en-US" w:eastAsia="zh-CN"/>
        </w:rPr>
        <w:t>酸洗、</w:t>
      </w:r>
      <w:r>
        <w:rPr>
          <w:bCs/>
          <w:sz w:val="24"/>
        </w:rPr>
        <w:t>油漆等各项工作，设备安装完成后，将修补破损面漆。</w:t>
      </w:r>
      <w:r>
        <w:rPr>
          <w:rFonts w:hint="eastAsia" w:ascii="宋体" w:hAnsi="宋体"/>
          <w:sz w:val="24"/>
        </w:rPr>
        <w:t>泵体进行表面除锈处理后二十四小时之内完成第一遍底漆涂装，随即按工艺要求顺序进行，直到面漆涂装。</w:t>
      </w:r>
    </w:p>
    <w:p>
      <w:pPr>
        <w:keepNext/>
        <w:spacing w:before="312" w:beforeLines="100" w:after="156" w:afterLines="50"/>
        <w:jc w:val="left"/>
        <w:outlineLvl w:val="1"/>
        <w:rPr>
          <w:rFonts w:ascii="Arial" w:hAnsi="Arial" w:eastAsia="黑体" w:cs="Arial"/>
          <w:bCs/>
          <w:sz w:val="24"/>
        </w:rPr>
      </w:pPr>
      <w:bookmarkStart w:id="119" w:name="_Toc286667855"/>
      <w:bookmarkStart w:id="120" w:name="_Toc463657526"/>
      <w:bookmarkStart w:id="121" w:name="_Toc287280894"/>
      <w:bookmarkStart w:id="122" w:name="_Toc286416621"/>
      <w:bookmarkStart w:id="123" w:name="_Toc286758653"/>
      <w:bookmarkStart w:id="124" w:name="_Toc462415879"/>
      <w:bookmarkStart w:id="125" w:name="_Toc464221022"/>
      <w:bookmarkStart w:id="126" w:name="_Toc286757665"/>
      <w:r>
        <w:rPr>
          <w:rFonts w:hint="eastAsia" w:ascii="Arial" w:hAnsi="Arial" w:eastAsia="黑体" w:cs="Arial"/>
          <w:bCs/>
          <w:sz w:val="24"/>
          <w:lang w:val="en-US" w:eastAsia="zh-CN"/>
        </w:rPr>
        <w:t>7.2</w:t>
      </w:r>
      <w:r>
        <w:rPr>
          <w:rFonts w:hint="eastAsia" w:ascii="Arial" w:hAnsi="Arial" w:eastAsia="黑体" w:cs="Arial"/>
          <w:bCs/>
          <w:sz w:val="24"/>
        </w:rPr>
        <w:t>包装</w:t>
      </w:r>
      <w:bookmarkEnd w:id="119"/>
      <w:bookmarkEnd w:id="120"/>
      <w:bookmarkEnd w:id="121"/>
      <w:bookmarkEnd w:id="122"/>
      <w:bookmarkEnd w:id="123"/>
      <w:bookmarkEnd w:id="124"/>
      <w:bookmarkEnd w:id="125"/>
      <w:bookmarkEnd w:id="126"/>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）乙方交付的所有货物要符合国家标准</w:t>
      </w:r>
      <w:r>
        <w:rPr>
          <w:sz w:val="24"/>
        </w:rPr>
        <w:t>JB</w:t>
      </w:r>
      <w:r>
        <w:rPr>
          <w:rFonts w:ascii="宋体" w:hAnsi="宋体"/>
          <w:sz w:val="24"/>
        </w:rPr>
        <w:t>/</w:t>
      </w:r>
      <w:r>
        <w:rPr>
          <w:sz w:val="24"/>
        </w:rPr>
        <w:t>ZQ4286</w:t>
      </w:r>
      <w:r>
        <w:rPr>
          <w:rFonts w:hint="eastAsia" w:ascii="宋体" w:hAnsi="宋体"/>
          <w:sz w:val="24"/>
        </w:rPr>
        <w:t>中关于包装、储运指示标志的规定及货物承运部门的规定，具有适合长途运输、多次搬运和装卸的坚固包装，</w:t>
      </w:r>
      <w:r>
        <w:rPr>
          <w:rFonts w:ascii="宋体" w:hAnsi="宋体"/>
          <w:sz w:val="24"/>
        </w:rPr>
        <w:t>分类装箱，</w:t>
      </w:r>
      <w:r>
        <w:rPr>
          <w:rFonts w:hint="eastAsia" w:ascii="宋体" w:hAnsi="宋体"/>
          <w:sz w:val="24"/>
        </w:rPr>
        <w:t>以确保合同设备安全、无损地运抵现场，且便于安装和查找。</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乙方应根据合同设备不同的形状及特性进行包装，并采取防潮、防雨、防霉、防锈、防腐蚀和防震等保护措施，对设备进行妥善的油漆，以适应长途运输条件和大量的吊装、卸货以及长期露天堆放的需要，从而防止雨雪、受潮、生锈、腐蚀、受震以及机械和化学引起的损坏，以保证货物在没有任何损坏和腐蚀的情况下安全运抵合同设备安装现场。</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）产品包装前，乙方负责进行检查清理，不留异物，并保证零部件齐全。</w:t>
      </w:r>
      <w:r>
        <w:rPr>
          <w:rFonts w:ascii="宋体" w:hAnsi="宋体"/>
          <w:sz w:val="24"/>
        </w:rPr>
        <w:t>在装运前应将泵内的水排尽，并保持干燥。</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）各种材料及设备的松散零星部件应采用好的包装方式，装入尺寸适当的箱内，乙方对包装箱内和捆内的各散装部件上贴注标签，标签应以清晰的中文印刷体书写，注明在装配图中的部件号、零件号等相关内容。</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）乙方应在每件包装箱的四个侧面上，用不褪色的油漆以明显易见的中文字样印刷以下标记：</w:t>
      </w:r>
    </w:p>
    <w:p>
      <w:pPr>
        <w:numPr>
          <w:ilvl w:val="0"/>
          <w:numId w:val="4"/>
        </w:numPr>
        <w:spacing w:line="360" w:lineRule="auto"/>
        <w:rPr>
          <w:rFonts w:ascii="宋体" w:hAnsi="宋体"/>
          <w:sz w:val="24"/>
        </w:rPr>
      </w:pPr>
      <w:r>
        <w:rPr>
          <w:rFonts w:hint="eastAsia" w:ascii="宋体" w:hAnsi="宋体"/>
          <w:sz w:val="24"/>
        </w:rPr>
        <w:t>收货人；</w:t>
      </w:r>
    </w:p>
    <w:p>
      <w:pPr>
        <w:numPr>
          <w:ilvl w:val="0"/>
          <w:numId w:val="4"/>
        </w:numPr>
        <w:spacing w:line="360" w:lineRule="auto"/>
        <w:rPr>
          <w:rFonts w:ascii="宋体" w:hAnsi="宋体"/>
          <w:sz w:val="24"/>
        </w:rPr>
      </w:pPr>
      <w:r>
        <w:rPr>
          <w:rFonts w:hint="eastAsia" w:ascii="宋体" w:hAnsi="宋体"/>
          <w:sz w:val="24"/>
        </w:rPr>
        <w:t>合同号；</w:t>
      </w:r>
    </w:p>
    <w:p>
      <w:pPr>
        <w:numPr>
          <w:ilvl w:val="0"/>
          <w:numId w:val="4"/>
        </w:numPr>
        <w:spacing w:line="360" w:lineRule="auto"/>
        <w:rPr>
          <w:rFonts w:ascii="宋体" w:hAnsi="宋体"/>
          <w:sz w:val="24"/>
        </w:rPr>
      </w:pPr>
      <w:r>
        <w:rPr>
          <w:rFonts w:hint="eastAsia" w:ascii="宋体" w:hAnsi="宋体"/>
          <w:sz w:val="24"/>
        </w:rPr>
        <w:t>到站；</w:t>
      </w:r>
    </w:p>
    <w:p>
      <w:pPr>
        <w:numPr>
          <w:ilvl w:val="0"/>
          <w:numId w:val="4"/>
        </w:numPr>
        <w:spacing w:line="360" w:lineRule="auto"/>
        <w:rPr>
          <w:rFonts w:ascii="宋体" w:hAnsi="宋体"/>
          <w:sz w:val="24"/>
        </w:rPr>
      </w:pPr>
      <w:r>
        <w:rPr>
          <w:rFonts w:hint="eastAsia" w:ascii="宋体" w:hAnsi="宋体"/>
          <w:sz w:val="24"/>
        </w:rPr>
        <w:t>货物名称、品目号、箱号；</w:t>
      </w:r>
    </w:p>
    <w:p>
      <w:pPr>
        <w:numPr>
          <w:ilvl w:val="0"/>
          <w:numId w:val="4"/>
        </w:numPr>
        <w:spacing w:line="360" w:lineRule="auto"/>
        <w:rPr>
          <w:rFonts w:ascii="宋体" w:hAnsi="宋体"/>
          <w:sz w:val="24"/>
        </w:rPr>
      </w:pPr>
      <w:r>
        <w:rPr>
          <w:rFonts w:hint="eastAsia" w:ascii="宋体" w:hAnsi="宋体"/>
          <w:sz w:val="24"/>
        </w:rPr>
        <w:t>毛重</w:t>
      </w:r>
      <w:r>
        <w:rPr>
          <w:rFonts w:ascii="宋体" w:hAnsi="宋体"/>
          <w:sz w:val="24"/>
        </w:rPr>
        <w:t>/</w:t>
      </w:r>
      <w:r>
        <w:rPr>
          <w:rFonts w:hint="eastAsia" w:ascii="宋体" w:hAnsi="宋体"/>
          <w:sz w:val="24"/>
        </w:rPr>
        <w:t>净重</w:t>
      </w:r>
      <w:r>
        <w:rPr>
          <w:rFonts w:ascii="宋体" w:hAnsi="宋体"/>
          <w:sz w:val="24"/>
        </w:rPr>
        <w:t>(</w:t>
      </w:r>
      <w:r>
        <w:rPr>
          <w:rFonts w:hint="eastAsia" w:ascii="宋体" w:hAnsi="宋体"/>
          <w:sz w:val="24"/>
        </w:rPr>
        <w:t>公斤</w:t>
      </w:r>
      <w:r>
        <w:rPr>
          <w:rFonts w:ascii="宋体" w:hAnsi="宋体"/>
          <w:sz w:val="24"/>
        </w:rPr>
        <w:t>)</w:t>
      </w:r>
      <w:r>
        <w:rPr>
          <w:rFonts w:hint="eastAsia" w:ascii="宋体" w:hAnsi="宋体"/>
          <w:sz w:val="24"/>
        </w:rPr>
        <w:t>；</w:t>
      </w:r>
    </w:p>
    <w:p>
      <w:pPr>
        <w:numPr>
          <w:ilvl w:val="0"/>
          <w:numId w:val="4"/>
        </w:numPr>
        <w:spacing w:line="360" w:lineRule="auto"/>
        <w:rPr>
          <w:rFonts w:ascii="宋体" w:hAnsi="宋体"/>
          <w:sz w:val="24"/>
        </w:rPr>
      </w:pPr>
      <w:r>
        <w:rPr>
          <w:rFonts w:hint="eastAsia" w:ascii="宋体" w:hAnsi="宋体"/>
          <w:sz w:val="24"/>
        </w:rPr>
        <w:t>尺寸</w:t>
      </w:r>
      <w:r>
        <w:rPr>
          <w:rFonts w:ascii="宋体" w:hAnsi="宋体"/>
          <w:sz w:val="24"/>
        </w:rPr>
        <w:t>(</w:t>
      </w:r>
      <w:r>
        <w:rPr>
          <w:rFonts w:hint="eastAsia" w:ascii="宋体" w:hAnsi="宋体"/>
          <w:sz w:val="24"/>
        </w:rPr>
        <w:t>长×宽×高，以厘米表示</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）对裸装货物应以金属标签或直接在设备本身上注明上述有关内容。大件货物应带有足够的货物支架或包装垫木。</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）每件包装箱内，应附有包括部件名称、数量、机组号、图号的详细装箱单、质量合格证明书、操作手册和</w:t>
      </w:r>
      <w:r>
        <w:rPr>
          <w:rFonts w:ascii="宋体" w:hAnsi="宋体"/>
          <w:sz w:val="24"/>
        </w:rPr>
        <w:t>/</w:t>
      </w:r>
      <w:r>
        <w:rPr>
          <w:rFonts w:hint="eastAsia" w:ascii="宋体" w:hAnsi="宋体"/>
          <w:sz w:val="24"/>
        </w:rPr>
        <w:t>或技术资料一份。外购件包装箱内应有产品出厂质量合格证明书、技术说明一式二份。另快递邮寄装箱清单各二份。</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）栅格式箱子和</w:t>
      </w:r>
      <w:r>
        <w:rPr>
          <w:rFonts w:ascii="宋体" w:hAnsi="宋体"/>
          <w:sz w:val="24"/>
        </w:rPr>
        <w:t>/</w:t>
      </w:r>
      <w:r>
        <w:rPr>
          <w:rFonts w:hint="eastAsia" w:ascii="宋体" w:hAnsi="宋体"/>
          <w:sz w:val="24"/>
        </w:rPr>
        <w:t>或类似的包装</w:t>
      </w:r>
      <w:r>
        <w:rPr>
          <w:rFonts w:ascii="宋体" w:hAnsi="宋体"/>
          <w:sz w:val="24"/>
        </w:rPr>
        <w:t>,</w:t>
      </w:r>
      <w:r>
        <w:rPr>
          <w:rFonts w:hint="eastAsia" w:ascii="宋体" w:hAnsi="宋体"/>
          <w:sz w:val="24"/>
        </w:rPr>
        <w:t>应能用于盛装不至于被偷窃或被其他物品或雨水造成损坏的设备及零部件。</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w:t>
      </w:r>
      <w:r>
        <w:rPr>
          <w:rFonts w:ascii="宋体" w:hAnsi="宋体"/>
          <w:sz w:val="24"/>
        </w:rPr>
        <w:t>所有的孔﹑管接头以及法兰螺栓和末端焊接的连接件都应有保护装置，以防止在运输和保管期间发生损坏、腐蚀及掉进异物</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）乙方和</w:t>
      </w:r>
      <w:r>
        <w:rPr>
          <w:rFonts w:ascii="宋体" w:hAnsi="宋体"/>
          <w:sz w:val="24"/>
        </w:rPr>
        <w:t>/</w:t>
      </w:r>
      <w:r>
        <w:rPr>
          <w:rFonts w:hint="eastAsia" w:ascii="宋体" w:hAnsi="宋体"/>
          <w:sz w:val="24"/>
        </w:rPr>
        <w:t>或其分包商不得用同一箱号标明任何两个箱件，包装箱应连续编号，而且在全部装运的过程中，装箱编号的顺序始终是连贯的。</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）对于需要保证精确装配的明亮洁净加工面的货物，加工面应采用优良、耐久的保护层</w:t>
      </w:r>
      <w:r>
        <w:rPr>
          <w:rFonts w:ascii="宋体" w:hAnsi="宋体"/>
          <w:sz w:val="24"/>
        </w:rPr>
        <w:t>(</w:t>
      </w:r>
      <w:r>
        <w:rPr>
          <w:rFonts w:hint="eastAsia" w:ascii="宋体" w:hAnsi="宋体"/>
          <w:sz w:val="24"/>
        </w:rPr>
        <w:t>不得用油漆</w:t>
      </w:r>
      <w:r>
        <w:rPr>
          <w:rFonts w:ascii="宋体" w:hAnsi="宋体"/>
          <w:sz w:val="24"/>
        </w:rPr>
        <w:t>)</w:t>
      </w:r>
      <w:r>
        <w:rPr>
          <w:rFonts w:hint="eastAsia" w:ascii="宋体" w:hAnsi="宋体"/>
          <w:sz w:val="24"/>
        </w:rPr>
        <w:t>以防止在安装前发生锈蚀和损坏。</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凡由于乙方包装不当、包装不充分或保管不善致使货物遭到损坏或丢失时，不论在何时何地发现，一经证实，乙方均应按本合同的规定负责及时修理、更换或赔偿。在运输中如发生货物损坏和丢失时，乙方负责与承运部门及保险公司交涉，同时乙方应尽快向甲方补供货物以满足工期需要。</w:t>
      </w:r>
    </w:p>
    <w:p>
      <w:pPr>
        <w:keepNext/>
        <w:spacing w:before="312" w:beforeLines="100" w:after="156" w:afterLines="50"/>
        <w:jc w:val="left"/>
        <w:outlineLvl w:val="1"/>
        <w:rPr>
          <w:rFonts w:ascii="Arial" w:hAnsi="Arial" w:eastAsia="黑体" w:cs="Arial"/>
          <w:bCs/>
          <w:sz w:val="24"/>
        </w:rPr>
      </w:pPr>
      <w:bookmarkStart w:id="127" w:name="_Toc286757666"/>
      <w:bookmarkStart w:id="128" w:name="_Toc286667856"/>
      <w:bookmarkStart w:id="129" w:name="_Toc286416622"/>
      <w:bookmarkStart w:id="130" w:name="_Toc287280895"/>
      <w:bookmarkStart w:id="131" w:name="_Toc286758654"/>
      <w:bookmarkStart w:id="132" w:name="_Toc462415880"/>
      <w:bookmarkStart w:id="133" w:name="_Toc464221023"/>
      <w:bookmarkStart w:id="134" w:name="_Toc463657527"/>
      <w:r>
        <w:rPr>
          <w:rFonts w:hint="eastAsia" w:ascii="Arial" w:hAnsi="Arial" w:eastAsia="黑体" w:cs="Arial"/>
          <w:bCs/>
          <w:sz w:val="24"/>
          <w:lang w:val="en-US" w:eastAsia="zh-CN"/>
        </w:rPr>
        <w:t>7.3</w:t>
      </w:r>
      <w:r>
        <w:rPr>
          <w:rFonts w:hint="eastAsia" w:ascii="Arial" w:hAnsi="Arial" w:eastAsia="黑体" w:cs="Arial"/>
          <w:bCs/>
          <w:sz w:val="24"/>
        </w:rPr>
        <w:t>运输</w:t>
      </w:r>
      <w:bookmarkEnd w:id="127"/>
      <w:bookmarkEnd w:id="128"/>
      <w:bookmarkEnd w:id="129"/>
      <w:bookmarkEnd w:id="130"/>
      <w:bookmarkEnd w:id="131"/>
      <w:bookmarkEnd w:id="132"/>
      <w:bookmarkEnd w:id="133"/>
      <w:bookmarkEnd w:id="134"/>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）交货地点：甲方施工现场，车上交货；</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）运输方式：汽车运输。</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）乙方应在合同规定的交货期前</w:t>
      </w:r>
      <w:r>
        <w:rPr>
          <w:rFonts w:hint="eastAsia"/>
          <w:sz w:val="24"/>
        </w:rPr>
        <w:t>15</w:t>
      </w:r>
      <w:r>
        <w:rPr>
          <w:rFonts w:hint="eastAsia" w:ascii="宋体" w:hAnsi="宋体"/>
          <w:sz w:val="24"/>
        </w:rPr>
        <w:t>个日历日以电报、传真或电传通知甲方合同号、货物名称、数量、包装件数、总毛重、总体积（立方米）和备妥待运日期。同时，乙方应以挂号信寄给甲方详细交货清单一式三份，包括合同号、货物名称、规格、数量、总毛重、总体积（立方米）和每一包装箱的尺寸（长×宽×高）、备妥待运日期，以及货物在运输和仓储中的特殊要求和注意事项。</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）甲方可派遣代表到乙方工厂及装货车站监督装车情况。乙方应提前</w:t>
      </w:r>
      <w:r>
        <w:rPr>
          <w:sz w:val="24"/>
        </w:rPr>
        <w:t>15</w:t>
      </w:r>
      <w:r>
        <w:rPr>
          <w:rFonts w:hint="eastAsia" w:ascii="宋体" w:hAnsi="宋体"/>
          <w:sz w:val="24"/>
        </w:rPr>
        <w:t>天通知甲方交运日期。如果甲方代表不能及时参加检验时，乙方有权发货。上述甲方代表的检查与监督不能免除乙方应负的责任。</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）乙方应在货物装运完后</w:t>
      </w:r>
      <w:r>
        <w:rPr>
          <w:sz w:val="24"/>
        </w:rPr>
        <w:t>24</w:t>
      </w:r>
      <w:r>
        <w:rPr>
          <w:rFonts w:hint="eastAsia" w:ascii="宋体" w:hAnsi="宋体"/>
          <w:sz w:val="24"/>
        </w:rPr>
        <w:t>小时内以电报、传真或电传通知甲方合同号、货物名称、数量、毛重、体积（立方米）、运输工具名称及启运日期。如果包装件重量超过</w:t>
      </w:r>
      <w:r>
        <w:rPr>
          <w:sz w:val="24"/>
        </w:rPr>
        <w:t>20</w:t>
      </w:r>
      <w:r>
        <w:rPr>
          <w:rFonts w:hint="eastAsia" w:ascii="宋体" w:hAnsi="宋体"/>
          <w:sz w:val="24"/>
        </w:rPr>
        <w:t>吨或尺寸达到或超过</w:t>
      </w:r>
      <w:r>
        <w:rPr>
          <w:sz w:val="24"/>
        </w:rPr>
        <w:t>12</w:t>
      </w:r>
      <w:r>
        <w:rPr>
          <w:rFonts w:hint="eastAsia" w:ascii="宋体" w:hAnsi="宋体"/>
          <w:sz w:val="24"/>
        </w:rPr>
        <w:t>米长、</w:t>
      </w:r>
      <w:r>
        <w:rPr>
          <w:sz w:val="24"/>
        </w:rPr>
        <w:t>2</w:t>
      </w:r>
      <w:r>
        <w:rPr>
          <w:rFonts w:ascii="宋体" w:hAnsi="宋体"/>
          <w:sz w:val="24"/>
        </w:rPr>
        <w:t>.</w:t>
      </w:r>
      <w:r>
        <w:rPr>
          <w:sz w:val="24"/>
        </w:rPr>
        <w:t>7</w:t>
      </w:r>
      <w:r>
        <w:rPr>
          <w:rFonts w:hint="eastAsia" w:ascii="宋体" w:hAnsi="宋体"/>
          <w:sz w:val="24"/>
        </w:rPr>
        <w:t>米宽和</w:t>
      </w:r>
      <w:r>
        <w:rPr>
          <w:sz w:val="24"/>
        </w:rPr>
        <w:t>3</w:t>
      </w:r>
      <w:r>
        <w:rPr>
          <w:rFonts w:hint="eastAsia" w:ascii="宋体" w:hAnsi="宋体"/>
          <w:sz w:val="24"/>
        </w:rPr>
        <w:t>米高，乙方应将其重量或尺寸通知甲方。若货物中有易燃品或危险品，乙方也须将详细情况通知甲方。</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）从乙方至合同目的地的运输保险，由乙方负责投保并承担全额保险费。保险应以人民币按照发票金额的</w:t>
      </w:r>
      <w:r>
        <w:rPr>
          <w:sz w:val="24"/>
        </w:rPr>
        <w:t>110</w:t>
      </w:r>
      <w:r>
        <w:rPr>
          <w:rFonts w:ascii="宋体" w:hAnsi="宋体"/>
          <w:sz w:val="24"/>
        </w:rPr>
        <w:t>%</w:t>
      </w:r>
      <w:r>
        <w:rPr>
          <w:rFonts w:hint="eastAsia" w:ascii="宋体" w:hAnsi="宋体"/>
          <w:sz w:val="24"/>
        </w:rPr>
        <w:t>办理“一切险”。</w:t>
      </w:r>
    </w:p>
    <w:p>
      <w:pPr>
        <w:keepNext/>
        <w:spacing w:before="312" w:beforeLines="100" w:after="156" w:afterLines="50"/>
        <w:jc w:val="left"/>
        <w:outlineLvl w:val="1"/>
        <w:rPr>
          <w:rFonts w:ascii="Arial" w:hAnsi="Arial" w:eastAsia="黑体" w:cs="Arial"/>
          <w:bCs/>
          <w:sz w:val="24"/>
        </w:rPr>
      </w:pPr>
      <w:bookmarkStart w:id="135" w:name="_Toc286757667"/>
      <w:bookmarkStart w:id="136" w:name="_Toc286667857"/>
      <w:bookmarkStart w:id="137" w:name="_Toc463657528"/>
      <w:bookmarkStart w:id="138" w:name="_Toc286758655"/>
      <w:bookmarkStart w:id="139" w:name="_Toc464221024"/>
      <w:bookmarkStart w:id="140" w:name="_Toc286416623"/>
      <w:bookmarkStart w:id="141" w:name="_Toc462415881"/>
      <w:bookmarkStart w:id="142" w:name="_Toc287280896"/>
      <w:r>
        <w:rPr>
          <w:rFonts w:hint="eastAsia" w:ascii="Arial" w:hAnsi="Arial" w:eastAsia="黑体" w:cs="Arial"/>
          <w:bCs/>
          <w:sz w:val="24"/>
          <w:lang w:val="en-US" w:eastAsia="zh-CN"/>
        </w:rPr>
        <w:t>7.4</w:t>
      </w:r>
      <w:r>
        <w:rPr>
          <w:rFonts w:hint="eastAsia" w:ascii="Arial" w:hAnsi="Arial" w:eastAsia="黑体" w:cs="Arial"/>
          <w:bCs/>
          <w:sz w:val="24"/>
        </w:rPr>
        <w:t>存储</w:t>
      </w:r>
      <w:bookmarkEnd w:id="135"/>
      <w:bookmarkEnd w:id="136"/>
      <w:bookmarkEnd w:id="137"/>
      <w:bookmarkEnd w:id="138"/>
      <w:bookmarkEnd w:id="139"/>
      <w:bookmarkEnd w:id="140"/>
      <w:bookmarkEnd w:id="141"/>
      <w:bookmarkEnd w:id="142"/>
    </w:p>
    <w:p>
      <w:pPr>
        <w:spacing w:line="360" w:lineRule="auto"/>
        <w:ind w:firstLine="480" w:firstLineChars="200"/>
        <w:rPr>
          <w:sz w:val="24"/>
        </w:rPr>
      </w:pPr>
      <w:r>
        <w:rPr>
          <w:rFonts w:hint="eastAsia"/>
          <w:sz w:val="24"/>
        </w:rPr>
        <w:t>乙方将根据包装箱内物品的特性，向甲方提供安全保存的说明。</w:t>
      </w: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r>
        <w:rPr>
          <w:rFonts w:hint="eastAsia" w:cs="Arial"/>
          <w:b/>
          <w:sz w:val="24"/>
        </w:rPr>
        <w:t>双方签字：</w:t>
      </w:r>
    </w:p>
    <w:tbl>
      <w:tblPr>
        <w:tblStyle w:val="15"/>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4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rPr>
          <w:rFonts w:hint="eastAsia"/>
        </w:rPr>
      </w:pPr>
    </w:p>
    <w:bookmarkEnd w:id="1"/>
    <w:bookmarkEnd w:id="2"/>
    <w:bookmarkEnd w:id="3"/>
    <w:p>
      <w:pPr>
        <w:spacing w:line="440" w:lineRule="exact"/>
        <w:jc w:val="left"/>
        <w:rPr>
          <w:rFonts w:hint="eastAsia" w:ascii="新宋体" w:hAnsi="新宋体" w:eastAsia="新宋体" w:cs="新宋体"/>
          <w:snapToGrid w:val="0"/>
          <w:kern w:val="0"/>
          <w:sz w:val="24"/>
          <w:szCs w:val="24"/>
          <w:lang w:val="en-US" w:eastAsia="zh-CN"/>
        </w:rPr>
      </w:pPr>
    </w:p>
    <w:sectPr>
      <w:pgSz w:w="11906" w:h="16838"/>
      <w:pgMar w:top="1440" w:right="1418" w:bottom="1418" w:left="141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UI Gothic">
    <w:panose1 w:val="020B0600070205080204"/>
    <w:charset w:val="80"/>
    <w:family w:val="swiss"/>
    <w:pitch w:val="default"/>
    <w:sig w:usb0="E00002FF" w:usb1="6AC7FDFB" w:usb2="08000012" w:usb3="00000000" w:csb0="4002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B0CF3"/>
    <w:multiLevelType w:val="multilevel"/>
    <w:tmpl w:val="244B0C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47A552F2"/>
    <w:multiLevelType w:val="multilevel"/>
    <w:tmpl w:val="47A552F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652C0A35"/>
    <w:multiLevelType w:val="multilevel"/>
    <w:tmpl w:val="652C0A3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73BF2744"/>
    <w:multiLevelType w:val="multilevel"/>
    <w:tmpl w:val="73BF274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s>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54184"/>
    <w:rsid w:val="00D8082C"/>
    <w:rsid w:val="00DE71E4"/>
    <w:rsid w:val="00E345D0"/>
    <w:rsid w:val="00E4294F"/>
    <w:rsid w:val="00E56BEE"/>
    <w:rsid w:val="00EF7483"/>
    <w:rsid w:val="00F73B9A"/>
    <w:rsid w:val="00F8173C"/>
    <w:rsid w:val="00F84528"/>
    <w:rsid w:val="00FC39E6"/>
    <w:rsid w:val="00FD485A"/>
    <w:rsid w:val="04390EE3"/>
    <w:rsid w:val="04B862AB"/>
    <w:rsid w:val="054B0105"/>
    <w:rsid w:val="05D613CD"/>
    <w:rsid w:val="080272B4"/>
    <w:rsid w:val="0A1102E2"/>
    <w:rsid w:val="0A5D5596"/>
    <w:rsid w:val="0B035C4C"/>
    <w:rsid w:val="0B170100"/>
    <w:rsid w:val="0EAA5967"/>
    <w:rsid w:val="147D2CD0"/>
    <w:rsid w:val="14EA7A62"/>
    <w:rsid w:val="1676477B"/>
    <w:rsid w:val="1BA66AA1"/>
    <w:rsid w:val="1BB370AE"/>
    <w:rsid w:val="1C386971"/>
    <w:rsid w:val="1CC87CDF"/>
    <w:rsid w:val="256718B8"/>
    <w:rsid w:val="261D4B77"/>
    <w:rsid w:val="277D2193"/>
    <w:rsid w:val="29F95040"/>
    <w:rsid w:val="2DC64D1F"/>
    <w:rsid w:val="2FD551D6"/>
    <w:rsid w:val="31976301"/>
    <w:rsid w:val="323055F3"/>
    <w:rsid w:val="349D49F2"/>
    <w:rsid w:val="34EE2B61"/>
    <w:rsid w:val="356A216F"/>
    <w:rsid w:val="380315D9"/>
    <w:rsid w:val="391A52DB"/>
    <w:rsid w:val="39AD70E6"/>
    <w:rsid w:val="3BD13AA7"/>
    <w:rsid w:val="3C26231C"/>
    <w:rsid w:val="3E340C71"/>
    <w:rsid w:val="3E464D91"/>
    <w:rsid w:val="3E465DEE"/>
    <w:rsid w:val="3FAB3856"/>
    <w:rsid w:val="40722FD5"/>
    <w:rsid w:val="4286740D"/>
    <w:rsid w:val="42E8493F"/>
    <w:rsid w:val="44D424D1"/>
    <w:rsid w:val="4EF04EE2"/>
    <w:rsid w:val="4F5A1355"/>
    <w:rsid w:val="4FAB4989"/>
    <w:rsid w:val="4FFB7CBC"/>
    <w:rsid w:val="5052542C"/>
    <w:rsid w:val="516D57A4"/>
    <w:rsid w:val="518E5997"/>
    <w:rsid w:val="52B03878"/>
    <w:rsid w:val="56F26C44"/>
    <w:rsid w:val="58550FBC"/>
    <w:rsid w:val="59566088"/>
    <w:rsid w:val="5B1F58B2"/>
    <w:rsid w:val="5B3D2AF8"/>
    <w:rsid w:val="5CC36F08"/>
    <w:rsid w:val="5CFC40FC"/>
    <w:rsid w:val="608F4431"/>
    <w:rsid w:val="635B6E3B"/>
    <w:rsid w:val="65B3229E"/>
    <w:rsid w:val="660E3E27"/>
    <w:rsid w:val="66215314"/>
    <w:rsid w:val="6786523A"/>
    <w:rsid w:val="688F7BB7"/>
    <w:rsid w:val="6B6F63E1"/>
    <w:rsid w:val="711D2DFE"/>
    <w:rsid w:val="72772234"/>
    <w:rsid w:val="72F07E08"/>
    <w:rsid w:val="73100899"/>
    <w:rsid w:val="73A71A97"/>
    <w:rsid w:val="73F87045"/>
    <w:rsid w:val="744101B6"/>
    <w:rsid w:val="79683176"/>
    <w:rsid w:val="7AAF67FA"/>
    <w:rsid w:val="7AD53B92"/>
    <w:rsid w:val="7B7E4662"/>
    <w:rsid w:val="7C8B1136"/>
    <w:rsid w:val="7E2C0C08"/>
    <w:rsid w:val="7E865AC4"/>
    <w:rsid w:val="7F83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2"/>
    <w:basedOn w:val="1"/>
    <w:next w:val="1"/>
    <w:qFormat/>
    <w:uiPriority w:val="0"/>
    <w:pPr>
      <w:keepNext/>
      <w:spacing w:before="100" w:beforeLines="100" w:after="50" w:afterLines="50"/>
      <w:jc w:val="left"/>
      <w:outlineLvl w:val="1"/>
    </w:pPr>
    <w:rPr>
      <w:rFonts w:ascii="Arial" w:hAnsi="Arial" w:eastAsia="黑体" w:cs="Arial"/>
      <w:b/>
      <w:bCs/>
      <w:sz w:val="28"/>
    </w:rPr>
  </w:style>
  <w:style w:type="paragraph" w:styleId="4">
    <w:name w:val="heading 3"/>
    <w:basedOn w:val="1"/>
    <w:next w:val="1"/>
    <w:link w:val="26"/>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Salutation"/>
    <w:basedOn w:val="1"/>
    <w:next w:val="1"/>
    <w:link w:val="24"/>
    <w:qFormat/>
    <w:uiPriority w:val="99"/>
    <w:rPr>
      <w:rFonts w:ascii="宋体" w:eastAsia="仿宋_GB2312"/>
      <w:szCs w:val="20"/>
    </w:rPr>
  </w:style>
  <w:style w:type="paragraph" w:styleId="8">
    <w:name w:val="Body Text"/>
    <w:basedOn w:val="1"/>
    <w:link w:val="22"/>
    <w:qFormat/>
    <w:uiPriority w:val="1"/>
    <w:pPr>
      <w:autoSpaceDE w:val="0"/>
      <w:autoSpaceDN w:val="0"/>
      <w:jc w:val="left"/>
    </w:pPr>
    <w:rPr>
      <w:rFonts w:ascii="宋体" w:hAnsi="宋体" w:cs="宋体"/>
      <w:kern w:val="0"/>
      <w:szCs w:val="21"/>
      <w:lang w:val="zh-CN" w:bidi="zh-CN"/>
    </w:rPr>
  </w:style>
  <w:style w:type="paragraph" w:styleId="9">
    <w:name w:val="Plain Text"/>
    <w:basedOn w:val="1"/>
    <w:link w:val="30"/>
    <w:qFormat/>
    <w:uiPriority w:val="0"/>
    <w:rPr>
      <w:rFonts w:ascii="宋体" w:hAnsi="Courier New" w:cs="Courier New"/>
      <w:szCs w:val="21"/>
    </w:rPr>
  </w:style>
  <w:style w:type="paragraph" w:styleId="10">
    <w:name w:val="Date"/>
    <w:basedOn w:val="1"/>
    <w:next w:val="1"/>
    <w:link w:val="20"/>
    <w:unhideWhenUsed/>
    <w:qFormat/>
    <w:uiPriority w:val="99"/>
    <w:pPr>
      <w:ind w:left="100" w:leftChars="2500"/>
    </w:pPr>
  </w:style>
  <w:style w:type="paragraph" w:styleId="11">
    <w:name w:val="Balloon Text"/>
    <w:basedOn w:val="1"/>
    <w:link w:val="32"/>
    <w:semiHidden/>
    <w:unhideWhenUsed/>
    <w:qFormat/>
    <w:uiPriority w:val="99"/>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widowControl/>
      <w:spacing w:before="100" w:beforeAutospacing="1" w:after="100" w:afterAutospacing="1"/>
      <w:jc w:val="left"/>
    </w:pPr>
    <w:rPr>
      <w:kern w:val="0"/>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日期 Char"/>
    <w:basedOn w:val="17"/>
    <w:link w:val="10"/>
    <w:semiHidden/>
    <w:qFormat/>
    <w:uiPriority w:val="99"/>
    <w:rPr>
      <w:kern w:val="2"/>
      <w:sz w:val="21"/>
      <w:szCs w:val="24"/>
    </w:rPr>
  </w:style>
  <w:style w:type="character" w:customStyle="1" w:styleId="21">
    <w:name w:val="标题 1 Char"/>
    <w:basedOn w:val="17"/>
    <w:link w:val="2"/>
    <w:qFormat/>
    <w:uiPriority w:val="1"/>
    <w:rPr>
      <w:rFonts w:ascii="Microsoft JhengHei" w:hAnsi="Microsoft JhengHei" w:eastAsia="Microsoft JhengHei" w:cs="Microsoft JhengHei"/>
      <w:b/>
      <w:bCs/>
      <w:sz w:val="48"/>
      <w:szCs w:val="48"/>
      <w:lang w:val="zh-CN" w:bidi="zh-CN"/>
    </w:rPr>
  </w:style>
  <w:style w:type="character" w:customStyle="1" w:styleId="22">
    <w:name w:val="正文文本 Char"/>
    <w:basedOn w:val="17"/>
    <w:link w:val="8"/>
    <w:qFormat/>
    <w:uiPriority w:val="1"/>
    <w:rPr>
      <w:rFonts w:ascii="宋体" w:hAnsi="宋体" w:cs="宋体"/>
      <w:sz w:val="21"/>
      <w:szCs w:val="21"/>
      <w:lang w:val="zh-CN" w:bidi="zh-CN"/>
    </w:rPr>
  </w:style>
  <w:style w:type="paragraph" w:styleId="23">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4">
    <w:name w:val="称呼 Char"/>
    <w:basedOn w:val="17"/>
    <w:link w:val="7"/>
    <w:qFormat/>
    <w:uiPriority w:val="99"/>
    <w:rPr>
      <w:rFonts w:ascii="宋体" w:eastAsia="仿宋_GB2312"/>
      <w:kern w:val="2"/>
      <w:sz w:val="21"/>
    </w:rPr>
  </w:style>
  <w:style w:type="paragraph" w:customStyle="1" w:styleId="2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6">
    <w:name w:val="标题 3 Char"/>
    <w:basedOn w:val="17"/>
    <w:link w:val="4"/>
    <w:semiHidden/>
    <w:qFormat/>
    <w:uiPriority w:val="0"/>
    <w:rPr>
      <w:b/>
      <w:bCs/>
      <w:kern w:val="2"/>
      <w:sz w:val="32"/>
      <w:szCs w:val="32"/>
    </w:rPr>
  </w:style>
  <w:style w:type="character" w:customStyle="1" w:styleId="27">
    <w:name w:val="标题 6 Char"/>
    <w:basedOn w:val="17"/>
    <w:link w:val="6"/>
    <w:semiHidden/>
    <w:qFormat/>
    <w:uiPriority w:val="0"/>
    <w:rPr>
      <w:rFonts w:asciiTheme="majorHAnsi" w:hAnsiTheme="majorHAnsi" w:eastAsiaTheme="majorEastAsia" w:cstheme="majorBidi"/>
      <w:b/>
      <w:bCs/>
      <w:kern w:val="2"/>
      <w:sz w:val="24"/>
      <w:szCs w:val="24"/>
    </w:rPr>
  </w:style>
  <w:style w:type="character" w:customStyle="1" w:styleId="28">
    <w:name w:val="标题 4 Char"/>
    <w:basedOn w:val="17"/>
    <w:link w:val="5"/>
    <w:semiHidden/>
    <w:qFormat/>
    <w:uiPriority w:val="0"/>
    <w:rPr>
      <w:rFonts w:asciiTheme="majorHAnsi" w:hAnsiTheme="majorHAnsi" w:eastAsiaTheme="majorEastAsia" w:cstheme="majorBidi"/>
      <w:b/>
      <w:bCs/>
      <w:kern w:val="2"/>
      <w:sz w:val="28"/>
      <w:szCs w:val="28"/>
    </w:rPr>
  </w:style>
  <w:style w:type="paragraph" w:customStyle="1" w:styleId="29">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0">
    <w:name w:val="纯文本 Char"/>
    <w:link w:val="9"/>
    <w:qFormat/>
    <w:locked/>
    <w:uiPriority w:val="0"/>
    <w:rPr>
      <w:rFonts w:ascii="宋体" w:hAnsi="Courier New" w:cs="Courier New"/>
      <w:kern w:val="2"/>
      <w:sz w:val="21"/>
      <w:szCs w:val="21"/>
    </w:rPr>
  </w:style>
  <w:style w:type="character" w:customStyle="1" w:styleId="31">
    <w:name w:val="纯文本 Char1"/>
    <w:basedOn w:val="17"/>
    <w:semiHidden/>
    <w:qFormat/>
    <w:uiPriority w:val="99"/>
    <w:rPr>
      <w:rFonts w:ascii="宋体" w:hAnsi="Courier New" w:cs="Courier New"/>
      <w:kern w:val="2"/>
      <w:sz w:val="21"/>
      <w:szCs w:val="21"/>
    </w:rPr>
  </w:style>
  <w:style w:type="character" w:customStyle="1" w:styleId="32">
    <w:name w:val="批注框文本 Char"/>
    <w:basedOn w:val="17"/>
    <w:link w:val="11"/>
    <w:semiHidden/>
    <w:qFormat/>
    <w:uiPriority w:val="99"/>
    <w:rPr>
      <w:kern w:val="2"/>
      <w:sz w:val="18"/>
      <w:szCs w:val="18"/>
    </w:rPr>
  </w:style>
  <w:style w:type="character" w:customStyle="1" w:styleId="33">
    <w:name w:val="font61"/>
    <w:basedOn w:val="17"/>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33</Pages>
  <Words>13297</Words>
  <Characters>14187</Characters>
  <Lines>136</Lines>
  <Paragraphs>38</Paragraphs>
  <TotalTime>3</TotalTime>
  <ScaleCrop>false</ScaleCrop>
  <LinksUpToDate>false</LinksUpToDate>
  <CharactersWithSpaces>16188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探戈</cp:lastModifiedBy>
  <cp:lastPrinted>2019-12-17T03:39:00Z</cp:lastPrinted>
  <dcterms:modified xsi:type="dcterms:W3CDTF">2023-09-07T09:27:01Z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7004716E00E94A46BC75F1A5839F0C45_13</vt:lpwstr>
  </property>
</Properties>
</file>