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44"/>
          <w:szCs w:val="44"/>
        </w:rPr>
      </w:pPr>
      <w:r>
        <w:rPr>
          <w:rFonts w:hint="eastAsia" w:ascii="黑体" w:hAnsi="黑体" w:eastAsia="黑体" w:cs="宋体"/>
          <w:b/>
          <w:color w:val="000000"/>
          <w:w w:val="90"/>
          <w:kern w:val="0"/>
          <w:sz w:val="44"/>
          <w:szCs w:val="44"/>
        </w:rPr>
        <w:t>湖南省湘澧盐化有限责任公司</w:t>
      </w:r>
    </w:p>
    <w:p>
      <w:pPr>
        <w:spacing w:line="360" w:lineRule="auto"/>
        <w:jc w:val="center"/>
        <w:rPr>
          <w:rFonts w:hint="eastAsia" w:ascii="黑体" w:hAnsi="黑体" w:eastAsia="黑体" w:cs="宋体"/>
          <w:b/>
          <w:color w:val="000000"/>
          <w:kern w:val="0"/>
          <w:sz w:val="32"/>
          <w:szCs w:val="32"/>
        </w:rPr>
      </w:pPr>
    </w:p>
    <w:p>
      <w:pPr>
        <w:spacing w:line="360" w:lineRule="auto"/>
        <w:jc w:val="center"/>
        <w:rPr>
          <w:rFonts w:hint="default" w:ascii="宋体" w:hAnsi="宋体" w:eastAsia="宋体"/>
          <w:b w:val="0"/>
          <w:bCs w:val="0"/>
          <w:w w:val="90"/>
          <w:sz w:val="44"/>
          <w:szCs w:val="44"/>
          <w:lang w:val="en-US" w:eastAsia="zh-CN"/>
        </w:rPr>
      </w:pPr>
      <w:r>
        <w:rPr>
          <w:rFonts w:hint="eastAsia" w:ascii="宋体" w:hAnsi="宋体"/>
          <w:b w:val="0"/>
          <w:bCs w:val="0"/>
          <w:w w:val="90"/>
          <w:sz w:val="44"/>
          <w:szCs w:val="44"/>
          <w:lang w:val="en-US" w:eastAsia="zh-CN"/>
        </w:rPr>
        <w:t>生态盐分级分筛车间建设项目给袋式包装机采购</w:t>
      </w:r>
    </w:p>
    <w:p>
      <w:pPr>
        <w:spacing w:line="360" w:lineRule="auto"/>
        <w:jc w:val="center"/>
        <w:rPr>
          <w:rFonts w:ascii="黑体" w:hAnsi="黑体" w:eastAsia="黑体"/>
          <w:b/>
          <w:sz w:val="28"/>
          <w:szCs w:val="28"/>
        </w:rPr>
      </w:pP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72"/>
          <w:szCs w:val="72"/>
        </w:rPr>
        <w:t>招</w:t>
      </w:r>
      <w:r>
        <w:rPr>
          <w:rFonts w:hint="eastAsia" w:ascii="黑体" w:hAnsi="黑体" w:eastAsia="黑体"/>
          <w:b/>
          <w:sz w:val="72"/>
          <w:szCs w:val="72"/>
          <w:lang w:val="en-US" w:eastAsia="zh-CN"/>
        </w:rPr>
        <w:t xml:space="preserve"> </w:t>
      </w:r>
      <w:r>
        <w:rPr>
          <w:rFonts w:hint="eastAsia" w:ascii="黑体" w:hAnsi="黑体" w:eastAsia="黑体"/>
          <w:b/>
          <w:sz w:val="72"/>
          <w:szCs w:val="72"/>
        </w:rPr>
        <w:t>标</w:t>
      </w:r>
      <w:r>
        <w:rPr>
          <w:rFonts w:hint="eastAsia" w:ascii="黑体" w:hAnsi="黑体" w:eastAsia="黑体"/>
          <w:b/>
          <w:sz w:val="72"/>
          <w:szCs w:val="72"/>
          <w:lang w:val="en-US" w:eastAsia="zh-CN"/>
        </w:rPr>
        <w:t xml:space="preserve"> </w:t>
      </w:r>
      <w:r>
        <w:rPr>
          <w:rFonts w:hint="eastAsia" w:ascii="黑体" w:hAnsi="黑体" w:eastAsia="黑体"/>
          <w:b/>
          <w:sz w:val="72"/>
          <w:szCs w:val="72"/>
        </w:rPr>
        <w:t>文</w:t>
      </w:r>
      <w:r>
        <w:rPr>
          <w:rFonts w:hint="eastAsia" w:ascii="黑体" w:hAnsi="黑体" w:eastAsia="黑体"/>
          <w:b/>
          <w:sz w:val="72"/>
          <w:szCs w:val="72"/>
          <w:lang w:val="en-US" w:eastAsia="zh-CN"/>
        </w:rPr>
        <w:t xml:space="preserve"> </w:t>
      </w:r>
      <w:r>
        <w:rPr>
          <w:rFonts w:hint="eastAsia" w:ascii="黑体" w:hAnsi="黑体" w:eastAsia="黑体"/>
          <w:b/>
          <w:sz w:val="72"/>
          <w:szCs w:val="7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23</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10</w:t>
      </w:r>
      <w:r>
        <w:rPr>
          <w:rFonts w:hint="eastAsia" w:asciiTheme="minorEastAsia" w:hAnsiTheme="minorEastAsia" w:eastAsiaTheme="minorEastAsia"/>
          <w:b/>
          <w:color w:val="auto"/>
          <w:sz w:val="28"/>
          <w:szCs w:val="28"/>
        </w:rPr>
        <w:t>月</w:t>
      </w:r>
      <w:r>
        <w:rPr>
          <w:rFonts w:hint="eastAsia" w:asciiTheme="minorEastAsia" w:hAnsiTheme="minorEastAsia" w:eastAsiaTheme="minorEastAsia"/>
          <w:b/>
          <w:color w:val="auto"/>
          <w:sz w:val="28"/>
          <w:szCs w:val="28"/>
          <w:lang w:val="en-US" w:eastAsia="zh-CN"/>
        </w:rPr>
        <w:t>8</w:t>
      </w:r>
      <w:r>
        <w:rPr>
          <w:rFonts w:hint="eastAsia" w:asciiTheme="minorEastAsia" w:hAnsiTheme="minorEastAsia" w:eastAsiaTheme="minorEastAsia"/>
          <w:b/>
          <w:color w:val="auto"/>
          <w:sz w:val="28"/>
          <w:szCs w:val="28"/>
        </w:rPr>
        <w:t>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9"/>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9"/>
        <w:adjustRightInd w:val="0"/>
        <w:snapToGrid w:val="0"/>
        <w:spacing w:line="360" w:lineRule="auto"/>
        <w:rPr>
          <w:rFonts w:hAnsi="宋体"/>
          <w:b/>
          <w:sz w:val="24"/>
          <w:szCs w:val="24"/>
        </w:rPr>
      </w:pPr>
    </w:p>
    <w:p>
      <w:pPr>
        <w:pStyle w:val="9"/>
        <w:adjustRightInd w:val="0"/>
        <w:snapToGrid w:val="0"/>
        <w:spacing w:line="360" w:lineRule="auto"/>
        <w:rPr>
          <w:rFonts w:hAnsi="宋体"/>
          <w:b/>
          <w:sz w:val="24"/>
          <w:szCs w:val="24"/>
        </w:rPr>
      </w:pPr>
      <w:r>
        <w:rPr>
          <w:rFonts w:hint="eastAsia" w:hAnsi="宋体"/>
          <w:b/>
          <w:sz w:val="24"/>
          <w:szCs w:val="24"/>
        </w:rPr>
        <w:t>第一章  投标邀请</w:t>
      </w:r>
    </w:p>
    <w:p>
      <w:pPr>
        <w:pStyle w:val="9"/>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9"/>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9"/>
        <w:adjustRightInd w:val="0"/>
        <w:snapToGrid w:val="0"/>
        <w:spacing w:line="360" w:lineRule="auto"/>
        <w:rPr>
          <w:rFonts w:hint="default" w:hAnsi="宋体" w:eastAsia="宋体"/>
          <w:b/>
          <w:sz w:val="24"/>
          <w:szCs w:val="24"/>
          <w:lang w:val="en-US"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规范书</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3"/>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lang w:val="en-US" w:eastAsia="zh-CN"/>
        </w:rPr>
        <w:t>生态盐分级分筛建设项目给袋式包装机</w:t>
      </w:r>
      <w:r>
        <w:rPr>
          <w:sz w:val="24"/>
        </w:rPr>
        <w:t>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w:t>
      </w:r>
      <w:r>
        <w:rPr>
          <w:rFonts w:hint="eastAsia"/>
          <w:sz w:val="24"/>
          <w:lang w:val="en-US" w:eastAsia="zh-CN"/>
        </w:rPr>
        <w:t>生态盐分级分筛建设项目</w:t>
      </w:r>
      <w:r>
        <w:rPr>
          <w:rFonts w:hint="eastAsia"/>
          <w:sz w:val="24"/>
          <w:szCs w:val="24"/>
          <w:lang w:val="en-US" w:eastAsia="zh-CN"/>
        </w:rPr>
        <w:t>相关设备采购、设备平台及管路</w:t>
      </w:r>
      <w:r>
        <w:rPr>
          <w:rFonts w:hint="eastAsia"/>
          <w:sz w:val="24"/>
        </w:rPr>
        <w:t>制作</w:t>
      </w:r>
      <w:r>
        <w:rPr>
          <w:rFonts w:hint="eastAsia"/>
          <w:sz w:val="24"/>
          <w:lang w:val="en-US" w:eastAsia="zh-CN"/>
        </w:rPr>
        <w:t>和</w:t>
      </w:r>
      <w:r>
        <w:rPr>
          <w:rFonts w:hint="eastAsia"/>
          <w:sz w:val="24"/>
        </w:rPr>
        <w:t>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给袋式包装机（站立袋）4台</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w:t>
      </w:r>
      <w:r>
        <w:rPr>
          <w:rFonts w:hint="eastAsia"/>
          <w:sz w:val="24"/>
          <w:lang w:val="en-US" w:eastAsia="zh-CN"/>
        </w:rPr>
        <w:t>30</w:t>
      </w:r>
      <w:r>
        <w:rPr>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4"/>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4"/>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4"/>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4"/>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w:t>
      </w:r>
      <w:r>
        <w:rPr>
          <w:rFonts w:hint="eastAsia"/>
          <w:sz w:val="24"/>
          <w:lang w:val="en-US" w:eastAsia="zh-CN"/>
        </w:rPr>
        <w:t>气力输送系统制造、安装</w:t>
      </w:r>
      <w:r>
        <w:rPr>
          <w:sz w:val="24"/>
        </w:rPr>
        <w:t>业绩</w:t>
      </w:r>
      <w:r>
        <w:rPr>
          <w:rFonts w:hint="eastAsia"/>
          <w:sz w:val="24"/>
        </w:rPr>
        <w:t>。</w:t>
      </w:r>
    </w:p>
    <w:p>
      <w:pPr>
        <w:pStyle w:val="24"/>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4"/>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4"/>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color w:val="auto"/>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10</w:t>
      </w:r>
      <w:r>
        <w:rPr>
          <w:rFonts w:hint="eastAsia"/>
          <w:color w:val="auto"/>
          <w:sz w:val="24"/>
        </w:rPr>
        <w:t>月</w:t>
      </w:r>
      <w:r>
        <w:rPr>
          <w:rFonts w:hint="eastAsia"/>
          <w:color w:val="auto"/>
          <w:sz w:val="24"/>
          <w:lang w:val="en-US" w:eastAsia="zh-CN"/>
        </w:rPr>
        <w:t>20</w:t>
      </w:r>
      <w:r>
        <w:rPr>
          <w:rFonts w:hint="eastAsia"/>
          <w:color w:val="auto"/>
          <w:sz w:val="24"/>
        </w:rPr>
        <w:t>日</w:t>
      </w:r>
      <w:r>
        <w:rPr>
          <w:rFonts w:hint="eastAsia"/>
          <w:color w:val="auto"/>
          <w:sz w:val="24"/>
          <w:lang w:val="en-US" w:eastAsia="zh-CN"/>
        </w:rPr>
        <w:t>15</w:t>
      </w:r>
      <w:r>
        <w:rPr>
          <w:rFonts w:hint="eastAsia"/>
          <w:color w:val="auto"/>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w:t>
      </w:r>
      <w:r>
        <w:rPr>
          <w:rFonts w:hint="eastAsia"/>
          <w:sz w:val="24"/>
          <w:lang w:val="en-US" w:eastAsia="zh-CN"/>
        </w:rPr>
        <w:t>质量部会议室</w:t>
      </w:r>
      <w:r>
        <w:rPr>
          <w:rFonts w:hint="eastAsia"/>
          <w:sz w:val="24"/>
        </w:rPr>
        <w:t>。</w:t>
      </w:r>
    </w:p>
    <w:p>
      <w:pPr>
        <w:spacing w:line="480" w:lineRule="exact"/>
        <w:ind w:right="454"/>
        <w:rPr>
          <w:color w:val="FF0000"/>
          <w:sz w:val="24"/>
        </w:rPr>
      </w:pPr>
      <w:r>
        <w:rPr>
          <w:rFonts w:hint="eastAsia"/>
          <w:sz w:val="24"/>
        </w:rPr>
        <w:t>（4）</w:t>
      </w:r>
      <w:r>
        <w:rPr>
          <w:rFonts w:hint="eastAsia"/>
          <w:color w:val="auto"/>
          <w:sz w:val="24"/>
        </w:rPr>
        <w:t>开标时间：</w:t>
      </w:r>
      <w:r>
        <w:rPr>
          <w:rFonts w:hint="eastAsia"/>
          <w:b w:val="0"/>
          <w:bCs w:val="0"/>
          <w:color w:val="auto"/>
          <w:sz w:val="24"/>
        </w:rPr>
        <w:t>20</w:t>
      </w:r>
      <w:r>
        <w:rPr>
          <w:rFonts w:hint="eastAsia"/>
          <w:b w:val="0"/>
          <w:bCs w:val="0"/>
          <w:color w:val="auto"/>
          <w:sz w:val="24"/>
          <w:lang w:val="en-US" w:eastAsia="zh-CN"/>
        </w:rPr>
        <w:t>23</w:t>
      </w:r>
      <w:r>
        <w:rPr>
          <w:rFonts w:hint="eastAsia"/>
          <w:b w:val="0"/>
          <w:bCs w:val="0"/>
          <w:color w:val="auto"/>
          <w:sz w:val="24"/>
        </w:rPr>
        <w:t>年</w:t>
      </w:r>
      <w:r>
        <w:rPr>
          <w:rFonts w:hint="eastAsia"/>
          <w:b w:val="0"/>
          <w:bCs w:val="0"/>
          <w:color w:val="auto"/>
          <w:sz w:val="24"/>
          <w:lang w:val="en-US" w:eastAsia="zh-CN"/>
        </w:rPr>
        <w:t>10</w:t>
      </w:r>
      <w:r>
        <w:rPr>
          <w:rFonts w:hint="eastAsia"/>
          <w:b w:val="0"/>
          <w:bCs w:val="0"/>
          <w:color w:val="auto"/>
          <w:sz w:val="24"/>
        </w:rPr>
        <w:t>月</w:t>
      </w:r>
      <w:r>
        <w:rPr>
          <w:rFonts w:hint="eastAsia"/>
          <w:b w:val="0"/>
          <w:bCs w:val="0"/>
          <w:color w:val="auto"/>
          <w:sz w:val="24"/>
          <w:lang w:val="en-US" w:eastAsia="zh-CN"/>
        </w:rPr>
        <w:t>20</w:t>
      </w:r>
      <w:bookmarkStart w:id="101" w:name="_GoBack"/>
      <w:bookmarkEnd w:id="101"/>
      <w:r>
        <w:rPr>
          <w:rFonts w:hint="eastAsia"/>
          <w:b w:val="0"/>
          <w:bCs w:val="0"/>
          <w:color w:val="auto"/>
          <w:sz w:val="24"/>
        </w:rPr>
        <w:t>日</w:t>
      </w:r>
      <w:r>
        <w:rPr>
          <w:rFonts w:hint="eastAsia"/>
          <w:b w:val="0"/>
          <w:bCs w:val="0"/>
          <w:color w:val="auto"/>
          <w:sz w:val="24"/>
          <w:lang w:val="en-US" w:eastAsia="zh-CN"/>
        </w:rPr>
        <w:t>15</w:t>
      </w:r>
      <w:r>
        <w:rPr>
          <w:rFonts w:hint="eastAsia"/>
          <w:b w:val="0"/>
          <w:bCs w:val="0"/>
          <w:color w:val="auto"/>
          <w:sz w:val="24"/>
        </w:rPr>
        <w:t>:00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FF0000"/>
          <w:sz w:val="24"/>
        </w:rPr>
      </w:pP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10</w:t>
      </w:r>
      <w:r>
        <w:rPr>
          <w:rFonts w:hint="eastAsia"/>
          <w:color w:val="auto"/>
          <w:sz w:val="24"/>
        </w:rPr>
        <w:t>月</w:t>
      </w:r>
      <w:r>
        <w:rPr>
          <w:rFonts w:hint="eastAsia"/>
          <w:color w:val="auto"/>
          <w:sz w:val="24"/>
          <w:lang w:val="en-US" w:eastAsia="zh-CN"/>
        </w:rPr>
        <w:t>8</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3"/>
        <w:rPr>
          <w:rFonts w:hint="eastAsia" w:asciiTheme="majorEastAsia" w:hAnsiTheme="majorEastAsia" w:eastAsiaTheme="majorEastAsia"/>
          <w:sz w:val="44"/>
          <w:szCs w:val="44"/>
        </w:rPr>
      </w:pPr>
    </w:p>
    <w:p>
      <w:pPr>
        <w:pStyle w:val="3"/>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w:t>
      </w:r>
      <w:r>
        <w:rPr>
          <w:rFonts w:hint="eastAsia"/>
          <w:sz w:val="24"/>
          <w:lang w:val="en-US" w:eastAsia="zh-CN"/>
        </w:rPr>
        <w:t>生态盐分级分筛建设项目给袋式包装机</w:t>
      </w:r>
      <w:r>
        <w:rPr>
          <w:rFonts w:hint="eastAsia"/>
          <w:sz w:val="24"/>
          <w:szCs w:val="24"/>
          <w:lang w:val="en-US" w:eastAsia="zh-CN"/>
        </w:rPr>
        <w:t>设备采购</w:t>
      </w:r>
      <w:r>
        <w:rPr>
          <w:rFonts w:hint="eastAsia"/>
          <w:sz w:val="24"/>
        </w:rPr>
        <w:t>。</w:t>
      </w:r>
    </w:p>
    <w:p>
      <w:pPr>
        <w:pStyle w:val="24"/>
        <w:spacing w:before="58" w:line="460" w:lineRule="exact"/>
        <w:ind w:left="0" w:firstLine="0"/>
        <w:rPr>
          <w:sz w:val="24"/>
        </w:rPr>
      </w:pPr>
      <w:r>
        <w:rPr>
          <w:rFonts w:hint="eastAsia"/>
          <w:sz w:val="24"/>
        </w:rPr>
        <w:t>二、投标人资格：</w:t>
      </w:r>
    </w:p>
    <w:p>
      <w:pPr>
        <w:pStyle w:val="24"/>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4"/>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4"/>
        <w:tabs>
          <w:tab w:val="left" w:pos="1441"/>
        </w:tabs>
        <w:spacing w:before="66" w:line="460" w:lineRule="exact"/>
        <w:ind w:left="0" w:firstLine="0"/>
        <w:rPr>
          <w:sz w:val="24"/>
        </w:rPr>
      </w:pPr>
      <w:r>
        <w:rPr>
          <w:sz w:val="24"/>
        </w:rPr>
        <w:t>财务状态要求：具有良好的商业信誉和健全的财务会计制度</w:t>
      </w:r>
    </w:p>
    <w:p>
      <w:pPr>
        <w:pStyle w:val="24"/>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w:t>
      </w:r>
      <w:r>
        <w:rPr>
          <w:rFonts w:hint="eastAsia"/>
          <w:sz w:val="24"/>
          <w:lang w:val="en-US" w:eastAsia="zh-CN"/>
        </w:rPr>
        <w:t>给袋式包装机销售</w:t>
      </w:r>
      <w:r>
        <w:rPr>
          <w:sz w:val="24"/>
        </w:rPr>
        <w:t>业绩</w:t>
      </w:r>
      <w:r>
        <w:rPr>
          <w:rFonts w:hint="eastAsia"/>
          <w:sz w:val="24"/>
        </w:rPr>
        <w:t>。</w:t>
      </w:r>
    </w:p>
    <w:p>
      <w:pPr>
        <w:pStyle w:val="24"/>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4"/>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4"/>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24"/>
        </w:rPr>
      </w:pPr>
      <w:r>
        <w:rPr>
          <w:rFonts w:hint="eastAsia"/>
          <w:sz w:val="24"/>
        </w:rPr>
        <w:t>③</w:t>
      </w:r>
      <w:r>
        <w:rPr>
          <w:sz w:val="24"/>
        </w:rPr>
        <w:t>本次招标不接受</w:t>
      </w:r>
      <w:r>
        <w:rPr>
          <w:spacing w:val="-10"/>
          <w:sz w:val="24"/>
        </w:rPr>
        <w:t>联合体投标。</w:t>
      </w:r>
    </w:p>
    <w:p>
      <w:pPr>
        <w:spacing w:line="460" w:lineRule="exact"/>
        <w:ind w:right="-2"/>
        <w:jc w:val="left"/>
        <w:rPr>
          <w:rFonts w:ascii="宋体" w:hAnsi="宋体"/>
          <w:color w:val="000000"/>
          <w:sz w:val="24"/>
        </w:rPr>
      </w:pPr>
      <w:r>
        <w:rPr>
          <w:rFonts w:hint="eastAsia"/>
          <w:sz w:val="24"/>
          <w:lang w:val="en-US" w:eastAsia="zh-CN"/>
        </w:rPr>
        <w:t>三</w:t>
      </w:r>
      <w:r>
        <w:rPr>
          <w:rFonts w:hint="eastAsia"/>
          <w:sz w:val="24"/>
        </w:rPr>
        <w:t>、</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hint="eastAsia" w:ascii="宋体" w:hAnsi="宋体"/>
          <w:color w:val="000000"/>
          <w:sz w:val="24"/>
          <w:lang w:val="en-US" w:eastAsia="zh-CN"/>
        </w:rPr>
        <w:t>30</w:t>
      </w:r>
      <w:r>
        <w:rPr>
          <w:rFonts w:hint="eastAsia" w:ascii="宋体" w:hAnsi="宋体"/>
          <w:color w:val="000000"/>
          <w:sz w:val="24"/>
        </w:rPr>
        <w:t>天内交货，交货地点为湖南省湘澧盐化有限责任公司</w:t>
      </w:r>
      <w:r>
        <w:rPr>
          <w:rFonts w:hint="eastAsia" w:ascii="宋体" w:hAnsi="宋体"/>
          <w:color w:val="000000"/>
          <w:sz w:val="24"/>
          <w:lang w:val="en-US" w:eastAsia="zh-CN"/>
        </w:rPr>
        <w:t>包装厂前坪</w:t>
      </w:r>
      <w:r>
        <w:rPr>
          <w:rFonts w:hint="eastAsia" w:ascii="宋体" w:hAnsi="宋体"/>
          <w:color w:val="000000"/>
          <w:sz w:val="24"/>
        </w:rPr>
        <w:t>。</w:t>
      </w:r>
    </w:p>
    <w:p>
      <w:pPr>
        <w:spacing w:line="460" w:lineRule="exact"/>
        <w:ind w:right="-2"/>
        <w:jc w:val="left"/>
        <w:rPr>
          <w:rFonts w:ascii="宋体" w:hAnsi="宋体"/>
          <w:color w:val="000000"/>
          <w:sz w:val="24"/>
        </w:rPr>
      </w:pPr>
      <w:r>
        <w:rPr>
          <w:rFonts w:hint="eastAsia" w:ascii="宋体" w:hAnsi="宋体"/>
          <w:color w:val="000000"/>
          <w:sz w:val="24"/>
          <w:lang w:val="en-US" w:eastAsia="zh-CN"/>
        </w:rPr>
        <w:t>四</w:t>
      </w:r>
      <w:r>
        <w:rPr>
          <w:rFonts w:hint="eastAsia" w:ascii="宋体" w:hAnsi="宋体"/>
          <w:color w:val="000000"/>
          <w:sz w:val="24"/>
        </w:rPr>
        <w:t>、运输要求：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六</w:t>
      </w:r>
      <w:r>
        <w:rPr>
          <w:rFonts w:hint="eastAsia" w:ascii="宋体" w:hAnsi="宋体"/>
          <w:color w:val="000000"/>
          <w:sz w:val="24"/>
        </w:rPr>
        <w:t>、质保期：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w:t>
      </w:r>
      <w:r>
        <w:rPr>
          <w:rFonts w:hint="eastAsia" w:ascii="宋体" w:hAnsi="宋体"/>
          <w:color w:val="000000"/>
          <w:sz w:val="24"/>
          <w:lang w:val="en-US" w:eastAsia="zh-CN"/>
        </w:rPr>
        <w:t>维修或</w:t>
      </w:r>
      <w:r>
        <w:rPr>
          <w:rFonts w:hint="eastAsia" w:ascii="宋体" w:hAnsi="宋体"/>
          <w:color w:val="000000"/>
          <w:sz w:val="24"/>
        </w:rPr>
        <w:t>更换。</w:t>
      </w:r>
    </w:p>
    <w:p>
      <w:pPr>
        <w:autoSpaceDE w:val="0"/>
        <w:autoSpaceDN w:val="0"/>
        <w:adjustRightInd w:val="0"/>
        <w:spacing w:line="460" w:lineRule="exact"/>
        <w:rPr>
          <w:rFonts w:ascii="宋体"/>
          <w:color w:val="000000"/>
          <w:sz w:val="24"/>
        </w:rPr>
      </w:pPr>
      <w:r>
        <w:rPr>
          <w:rFonts w:hint="eastAsia" w:ascii="宋体" w:hAnsi="宋体"/>
          <w:color w:val="000000"/>
          <w:sz w:val="24"/>
          <w:lang w:val="en-US" w:eastAsia="zh-CN"/>
        </w:rPr>
        <w:t>七</w:t>
      </w:r>
      <w:r>
        <w:rPr>
          <w:rFonts w:hint="eastAsia" w:ascii="宋体" w:hAnsi="宋体"/>
          <w:color w:val="000000"/>
          <w:sz w:val="24"/>
        </w:rPr>
        <w:t>、支付方式：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w:t>
      </w:r>
      <w:r>
        <w:rPr>
          <w:rFonts w:hint="eastAsia" w:ascii="宋体" w:hAnsi="宋体"/>
          <w:color w:val="000000"/>
          <w:sz w:val="24"/>
          <w:lang w:val="en-US" w:eastAsia="zh-CN"/>
        </w:rPr>
        <w:t>到</w:t>
      </w:r>
      <w:r>
        <w:rPr>
          <w:rFonts w:hint="eastAsia" w:ascii="宋体" w:hAnsi="宋体"/>
          <w:color w:val="000000"/>
          <w:sz w:val="24"/>
        </w:rPr>
        <w:t>60%，安装验收合格后支付至合同价款的</w:t>
      </w:r>
      <w:r>
        <w:rPr>
          <w:rFonts w:hint="eastAsia" w:ascii="宋体" w:hAnsi="宋体"/>
          <w:color w:val="000000"/>
          <w:sz w:val="24"/>
          <w:lang w:val="en-US" w:eastAsia="zh-CN"/>
        </w:rPr>
        <w:t>95</w:t>
      </w:r>
      <w:r>
        <w:rPr>
          <w:rFonts w:hint="eastAsia" w:ascii="宋体" w:hAnsi="宋体"/>
          <w:color w:val="000000"/>
          <w:sz w:val="24"/>
        </w:rPr>
        <w:t>%，留</w:t>
      </w:r>
      <w:r>
        <w:rPr>
          <w:rFonts w:hint="eastAsia" w:ascii="宋体" w:hAnsi="宋体"/>
          <w:color w:val="000000"/>
          <w:sz w:val="24"/>
          <w:lang w:val="en-US" w:eastAsia="zh-CN"/>
        </w:rPr>
        <w:t>5</w:t>
      </w:r>
      <w:r>
        <w:rPr>
          <w:rFonts w:hint="eastAsia" w:ascii="宋体" w:hAnsi="宋体"/>
          <w:color w:val="000000"/>
          <w:sz w:val="24"/>
        </w:rPr>
        <w:t>%的质保金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w:t>
      </w:r>
      <w:r>
        <w:rPr>
          <w:rFonts w:hint="eastAsia"/>
          <w:b w:val="0"/>
          <w:bCs w:val="0"/>
          <w:color w:val="auto"/>
          <w:sz w:val="24"/>
          <w:lang w:val="en-US" w:eastAsia="zh-CN"/>
        </w:rPr>
        <w:t>140</w:t>
      </w:r>
      <w:r>
        <w:rPr>
          <w:rFonts w:hint="eastAsia"/>
          <w:b w:val="0"/>
          <w:bCs w:val="0"/>
          <w:sz w:val="24"/>
          <w:lang w:val="en-US" w:eastAsia="zh-CN"/>
        </w:rPr>
        <w:t>万（</w:t>
      </w:r>
      <w:r>
        <w:rPr>
          <w:rFonts w:hint="eastAsia"/>
          <w:b w:val="0"/>
          <w:bCs w:val="0"/>
          <w:color w:val="auto"/>
          <w:sz w:val="24"/>
          <w:lang w:val="en-US" w:eastAsia="zh-CN"/>
        </w:rPr>
        <w:t>壹佰伍拾万元整</w:t>
      </w:r>
      <w:r>
        <w:rPr>
          <w:rFonts w:hint="eastAsia"/>
          <w:b w:val="0"/>
          <w:bCs w:val="0"/>
          <w:sz w:val="24"/>
          <w:lang w:val="en-US" w:eastAsia="zh-CN"/>
        </w:rPr>
        <w:t>）</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w:t>
      </w:r>
      <w:r>
        <w:rPr>
          <w:rFonts w:hint="eastAsia" w:ascii="宋体" w:hAnsi="宋体"/>
          <w:sz w:val="24"/>
          <w:lang w:val="en-US" w:eastAsia="zh-CN"/>
        </w:rPr>
        <w:t>二</w:t>
      </w:r>
      <w:r>
        <w:rPr>
          <w:rFonts w:hint="eastAsia" w:ascii="宋体" w:hAnsi="宋体"/>
          <w:sz w:val="24"/>
        </w:rPr>
        <w:t>份，其中正本</w:t>
      </w:r>
      <w:r>
        <w:rPr>
          <w:rFonts w:ascii="宋体" w:hAnsi="宋体"/>
          <w:sz w:val="24"/>
        </w:rPr>
        <w:t>1</w:t>
      </w:r>
      <w:r>
        <w:rPr>
          <w:rFonts w:hint="eastAsia" w:ascii="宋体" w:hAnsi="宋体"/>
          <w:sz w:val="24"/>
        </w:rPr>
        <w:t>份，副本</w:t>
      </w:r>
      <w:r>
        <w:rPr>
          <w:rFonts w:hint="eastAsia" w:ascii="宋体" w:hAnsi="宋体"/>
          <w:sz w:val="24"/>
          <w:lang w:val="en-US" w:eastAsia="zh-CN"/>
        </w:rPr>
        <w:t>1</w:t>
      </w:r>
      <w:r>
        <w:rPr>
          <w:rFonts w:hint="eastAsia" w:ascii="宋体" w:hAnsi="宋体"/>
          <w:sz w:val="24"/>
        </w:rPr>
        <w:t>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w:t>
      </w:r>
      <w:r>
        <w:rPr>
          <w:rFonts w:hint="eastAsia" w:ascii="宋体" w:hAnsi="宋体"/>
          <w:color w:val="000000"/>
          <w:sz w:val="24"/>
          <w:lang w:val="en-US" w:eastAsia="zh-CN"/>
        </w:rPr>
        <w:t>柒</w:t>
      </w:r>
      <w:r>
        <w:rPr>
          <w:rFonts w:hint="eastAsia" w:ascii="宋体" w:hAnsi="宋体"/>
          <w:color w:val="000000"/>
          <w:sz w:val="24"/>
        </w:rPr>
        <w:t>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10"/>
        <w:spacing w:line="460" w:lineRule="exact"/>
        <w:ind w:left="0" w:leftChars="0" w:firstLine="240" w:firstLine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3"/>
        <w:rPr>
          <w:rFonts w:hint="eastAsia" w:asciiTheme="majorEastAsia" w:hAnsiTheme="majorEastAsia" w:eastAsiaTheme="majorEastAsia"/>
          <w:sz w:val="44"/>
          <w:szCs w:val="44"/>
        </w:rPr>
      </w:pPr>
    </w:p>
    <w:p>
      <w:pPr>
        <w:pStyle w:val="3"/>
        <w:rPr>
          <w:rFonts w:hint="eastAsia" w:asciiTheme="majorEastAsia" w:hAnsiTheme="majorEastAsia" w:eastAsiaTheme="majorEastAsia"/>
          <w:sz w:val="44"/>
          <w:szCs w:val="44"/>
        </w:rPr>
      </w:pPr>
    </w:p>
    <w:p>
      <w:pPr>
        <w:pStyle w:val="3"/>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评标委员会对满足招标文件实质性要求的投标文件，按照本</w:t>
      </w:r>
      <w:r>
        <w:rPr>
          <w:rFonts w:hint="eastAsia"/>
          <w:sz w:val="24"/>
        </w:rPr>
        <w:t>评标办法设定</w:t>
      </w:r>
      <w:r>
        <w:rPr>
          <w:sz w:val="24"/>
        </w:rPr>
        <w:t>的评标标准进行评分，并按得分由高到低顺序推荐中标候选人，或根据招标人授权直接确定中标人，但投标报价低于其成本的除外。综合评分相等时，以投标报价低的优先；投标报价也相等的技术得分高的优先。如果技术得分也相同，由招标人自行确定。</w:t>
      </w:r>
    </w:p>
    <w:p>
      <w:pPr>
        <w:spacing w:line="360" w:lineRule="auto"/>
        <w:rPr>
          <w:rFonts w:hint="eastAsia"/>
          <w:sz w:val="24"/>
        </w:rPr>
      </w:pPr>
      <w:r>
        <w:rPr>
          <w:rFonts w:hint="eastAsia"/>
          <w:sz w:val="24"/>
        </w:rPr>
        <w:t>2.投标文件的初步审查</w:t>
      </w:r>
    </w:p>
    <w:p>
      <w:pPr>
        <w:spacing w:line="360" w:lineRule="auto"/>
        <w:rPr>
          <w:rFonts w:hint="eastAsia"/>
          <w:sz w:val="24"/>
        </w:rPr>
      </w:pPr>
      <w:r>
        <w:rPr>
          <w:rFonts w:hint="eastAsia"/>
          <w:sz w:val="24"/>
        </w:rPr>
        <w:t>2.1初步审查分为资格性检查和符合性检查。</w:t>
      </w:r>
    </w:p>
    <w:p>
      <w:pPr>
        <w:spacing w:line="360" w:lineRule="auto"/>
        <w:rPr>
          <w:rFonts w:hint="eastAsia"/>
          <w:sz w:val="24"/>
        </w:rPr>
      </w:pPr>
      <w:r>
        <w:rPr>
          <w:rFonts w:hint="eastAsia"/>
          <w:sz w:val="24"/>
        </w:rPr>
        <w:t>（1）资格性检查。根据法律法规和招标文件的规定，评标委员会对投标文件中的资格证明等进行审查，以确定投标人是否具备投标资格。</w:t>
      </w:r>
    </w:p>
    <w:p>
      <w:pPr>
        <w:spacing w:line="360" w:lineRule="auto"/>
        <w:rPr>
          <w:rFonts w:hint="eastAsia"/>
          <w:sz w:val="24"/>
        </w:rPr>
      </w:pPr>
      <w:r>
        <w:rPr>
          <w:rFonts w:hint="eastAsia"/>
          <w:sz w:val="24"/>
        </w:rPr>
        <w:t>（2）符合性检查。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spacing w:line="360" w:lineRule="auto"/>
        <w:rPr>
          <w:rFonts w:hint="eastAsia"/>
          <w:sz w:val="24"/>
        </w:rPr>
      </w:pPr>
      <w:r>
        <w:rPr>
          <w:rFonts w:hint="eastAsia"/>
          <w:sz w:val="24"/>
        </w:rPr>
        <w:t>（3）实质上没有响应招标文件要求的投标将被否决。投标人不得通过修正、补充或撤销不合要求的偏离或保留从而使其投标成为实质上响应的投标。</w:t>
      </w:r>
    </w:p>
    <w:p>
      <w:pPr>
        <w:spacing w:line="360" w:lineRule="auto"/>
        <w:rPr>
          <w:rFonts w:hint="eastAsia"/>
          <w:sz w:val="24"/>
        </w:rPr>
      </w:pPr>
      <w:r>
        <w:rPr>
          <w:rFonts w:hint="eastAsia"/>
          <w:sz w:val="24"/>
        </w:rPr>
        <w:t>2.2投标文件有下列情形之一的，评标委员会应当否决其投标：</w:t>
      </w:r>
    </w:p>
    <w:p>
      <w:pPr>
        <w:spacing w:line="360" w:lineRule="auto"/>
        <w:rPr>
          <w:rFonts w:hint="eastAsia"/>
          <w:sz w:val="24"/>
        </w:rPr>
      </w:pPr>
      <w:r>
        <w:rPr>
          <w:rFonts w:hint="eastAsia"/>
          <w:sz w:val="24"/>
        </w:rPr>
        <w:t>（1）投标人不符合国家或者招标文件规定的资格条件的；</w:t>
      </w:r>
    </w:p>
    <w:p>
      <w:pPr>
        <w:spacing w:line="360" w:lineRule="auto"/>
        <w:rPr>
          <w:rFonts w:hint="eastAsia"/>
          <w:sz w:val="24"/>
        </w:rPr>
      </w:pPr>
      <w:r>
        <w:rPr>
          <w:rFonts w:hint="eastAsia"/>
          <w:sz w:val="24"/>
        </w:rPr>
        <w:t>（2）同一投标人提交两个以上不同的投标报价。</w:t>
      </w:r>
    </w:p>
    <w:p>
      <w:pPr>
        <w:spacing w:line="360" w:lineRule="auto"/>
        <w:rPr>
          <w:rFonts w:hint="eastAsia"/>
          <w:sz w:val="24"/>
        </w:rPr>
      </w:pPr>
      <w:r>
        <w:rPr>
          <w:rFonts w:hint="eastAsia"/>
          <w:sz w:val="24"/>
        </w:rPr>
        <w:t>（3）投标文件不满足招标文件中用文字规定或标注“★”符号的实质性要求的；</w:t>
      </w:r>
    </w:p>
    <w:p>
      <w:pPr>
        <w:spacing w:line="360" w:lineRule="auto"/>
        <w:rPr>
          <w:rFonts w:hint="eastAsia"/>
          <w:sz w:val="24"/>
        </w:rPr>
      </w:pPr>
      <w:r>
        <w:rPr>
          <w:rFonts w:hint="eastAsia"/>
          <w:sz w:val="24"/>
        </w:rPr>
        <w:t>（4）投标文件中非实质性要求条款超出允许偏离的最大范围或最高项数的；</w:t>
      </w:r>
    </w:p>
    <w:p>
      <w:pPr>
        <w:spacing w:line="360" w:lineRule="auto"/>
        <w:rPr>
          <w:rFonts w:hint="eastAsia"/>
          <w:sz w:val="24"/>
        </w:rPr>
      </w:pPr>
      <w:r>
        <w:rPr>
          <w:rFonts w:hint="eastAsia"/>
          <w:sz w:val="24"/>
        </w:rPr>
        <w:t>（5）投标报价高于招标文件设定的最高投标限价的；</w:t>
      </w:r>
    </w:p>
    <w:p>
      <w:pPr>
        <w:spacing w:line="360" w:lineRule="auto"/>
        <w:rPr>
          <w:rFonts w:hint="eastAsia"/>
          <w:sz w:val="24"/>
        </w:rPr>
      </w:pPr>
      <w:r>
        <w:rPr>
          <w:rFonts w:hint="eastAsia"/>
          <w:sz w:val="24"/>
        </w:rPr>
        <w:t>（6）投标有效期不足的；</w:t>
      </w:r>
    </w:p>
    <w:p>
      <w:pPr>
        <w:spacing w:line="360" w:lineRule="auto"/>
        <w:rPr>
          <w:rFonts w:hint="eastAsia"/>
          <w:sz w:val="24"/>
        </w:rPr>
      </w:pPr>
      <w:r>
        <w:rPr>
          <w:rFonts w:hint="eastAsia"/>
          <w:sz w:val="24"/>
        </w:rPr>
        <w:t>（7）不符合法律、法规和招标文件规定的。</w:t>
      </w:r>
    </w:p>
    <w:p>
      <w:pPr>
        <w:spacing w:line="360" w:lineRule="auto"/>
        <w:rPr>
          <w:rFonts w:hint="eastAsia"/>
          <w:sz w:val="24"/>
        </w:rPr>
      </w:pPr>
      <w:r>
        <w:rPr>
          <w:rFonts w:hint="eastAsia"/>
          <w:sz w:val="24"/>
        </w:rPr>
        <w:t>2.3串通投标的认定</w:t>
      </w:r>
    </w:p>
    <w:p>
      <w:pPr>
        <w:spacing w:line="360" w:lineRule="auto"/>
        <w:rPr>
          <w:rFonts w:hint="eastAsia"/>
          <w:sz w:val="24"/>
        </w:rPr>
      </w:pPr>
      <w:r>
        <w:rPr>
          <w:rFonts w:hint="eastAsia"/>
          <w:sz w:val="24"/>
        </w:rPr>
        <w:t>有下列情形之一的，经评标委员会集体表决后认定，视为投标人相互串通投标：</w:t>
      </w:r>
    </w:p>
    <w:p>
      <w:pPr>
        <w:spacing w:line="360" w:lineRule="auto"/>
        <w:rPr>
          <w:rFonts w:hint="eastAsia"/>
          <w:sz w:val="24"/>
        </w:rPr>
      </w:pPr>
      <w:r>
        <w:rPr>
          <w:rFonts w:hint="eastAsia"/>
          <w:sz w:val="24"/>
        </w:rPr>
        <w:t>（1）不同投标人的投标文件异常一致或者投标报价呈规律性差异；</w:t>
      </w:r>
    </w:p>
    <w:p>
      <w:pPr>
        <w:spacing w:line="360" w:lineRule="auto"/>
        <w:rPr>
          <w:rFonts w:hint="eastAsia"/>
          <w:sz w:val="24"/>
        </w:rPr>
      </w:pPr>
      <w:r>
        <w:rPr>
          <w:rFonts w:hint="eastAsia"/>
          <w:sz w:val="24"/>
        </w:rPr>
        <w:t>（2）不同投标人的投标文件由同一单位或者同一个人编制；</w:t>
      </w:r>
    </w:p>
    <w:p>
      <w:pPr>
        <w:spacing w:line="360" w:lineRule="auto"/>
        <w:rPr>
          <w:rFonts w:hint="eastAsia"/>
          <w:sz w:val="24"/>
        </w:rPr>
      </w:pPr>
      <w:r>
        <w:rPr>
          <w:rFonts w:hint="eastAsia"/>
          <w:sz w:val="24"/>
        </w:rPr>
        <w:t>（3）不同投标人委托同一单位或者个人办理投标事宜；</w:t>
      </w:r>
    </w:p>
    <w:p>
      <w:pPr>
        <w:spacing w:line="360" w:lineRule="auto"/>
        <w:rPr>
          <w:rFonts w:hint="eastAsia"/>
          <w:sz w:val="24"/>
        </w:rPr>
      </w:pPr>
      <w:r>
        <w:rPr>
          <w:rFonts w:hint="eastAsia"/>
          <w:sz w:val="24"/>
        </w:rPr>
        <w:t>（4）不同投标人的投标文件载明的项目管理成员为同一人；</w:t>
      </w:r>
    </w:p>
    <w:p>
      <w:pPr>
        <w:spacing w:line="360" w:lineRule="auto"/>
        <w:rPr>
          <w:rFonts w:hint="eastAsia"/>
          <w:sz w:val="24"/>
        </w:rPr>
      </w:pPr>
      <w:r>
        <w:rPr>
          <w:rFonts w:hint="eastAsia"/>
          <w:sz w:val="24"/>
        </w:rPr>
        <w:t>（5）不同投标人的投标文件相互混装；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spacing w:before="4" w:line="360" w:lineRule="auto"/>
        <w:rPr>
          <w:rFonts w:hint="eastAsia"/>
          <w:sz w:val="24"/>
        </w:rPr>
      </w:pPr>
    </w:p>
    <w:p>
      <w:pPr>
        <w:spacing w:before="4" w:line="360" w:lineRule="auto"/>
        <w:rPr>
          <w:sz w:val="24"/>
        </w:rPr>
      </w:pPr>
      <w:r>
        <w:rPr>
          <w:rFonts w:hint="eastAsia"/>
          <w:sz w:val="24"/>
        </w:rPr>
        <w:t>4.投标报价评价：</w:t>
      </w:r>
    </w:p>
    <w:p>
      <w:pPr>
        <w:spacing w:before="4" w:line="360" w:lineRule="auto"/>
        <w:ind w:left="120"/>
        <w:rPr>
          <w:rFonts w:hint="default" w:eastAsia="宋体"/>
          <w:sz w:val="24"/>
          <w:lang w:val="en-US" w:eastAsia="zh-CN"/>
        </w:rPr>
      </w:pPr>
      <w:r>
        <w:rPr>
          <w:rFonts w:hint="eastAsia"/>
          <w:sz w:val="24"/>
          <w:lang w:val="en-US" w:eastAsia="zh-CN"/>
        </w:rPr>
        <w:t xml:space="preserve">  以投标报价最低价确定中标单位。</w:t>
      </w: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spacing w:before="28"/>
        <w:ind w:right="99"/>
        <w:jc w:val="both"/>
        <w:rPr>
          <w:rFonts w:cs="Microsoft JhengHei" w:asciiTheme="majorEastAsia" w:hAnsiTheme="majorEastAsia" w:eastAsiaTheme="majorEastAsia"/>
          <w:b/>
          <w:bCs/>
          <w:kern w:val="0"/>
          <w:sz w:val="44"/>
          <w:szCs w:val="44"/>
          <w:lang w:val="zh-CN" w:bidi="zh-CN"/>
        </w:rPr>
      </w:pPr>
    </w:p>
    <w:p>
      <w:pPr>
        <w:pStyle w:val="2"/>
        <w:rPr>
          <w:rFonts w:cs="Microsoft JhengHei" w:asciiTheme="majorEastAsia" w:hAnsiTheme="majorEastAsia" w:eastAsiaTheme="majorEastAsia"/>
          <w:b/>
          <w:bCs/>
          <w:kern w:val="0"/>
          <w:sz w:val="44"/>
          <w:szCs w:val="44"/>
          <w:lang w:val="zh-CN" w:bidi="zh-CN"/>
        </w:rPr>
      </w:pPr>
    </w:p>
    <w:p>
      <w:pPr>
        <w:rPr>
          <w:rFonts w:cs="Microsoft JhengHei" w:asciiTheme="majorEastAsia" w:hAnsiTheme="majorEastAsia" w:eastAsiaTheme="majorEastAsia"/>
          <w:b/>
          <w:bCs/>
          <w:kern w:val="0"/>
          <w:sz w:val="44"/>
          <w:szCs w:val="44"/>
          <w:lang w:val="zh-CN" w:bidi="zh-CN"/>
        </w:rPr>
      </w:pPr>
    </w:p>
    <w:p>
      <w:pPr>
        <w:pStyle w:val="2"/>
        <w:rPr>
          <w:rFonts w:cs="Microsoft JhengHei" w:asciiTheme="majorEastAsia" w:hAnsiTheme="majorEastAsia" w:eastAsiaTheme="majorEastAsia"/>
          <w:b/>
          <w:bCs/>
          <w:kern w:val="0"/>
          <w:sz w:val="44"/>
          <w:szCs w:val="44"/>
          <w:lang w:val="zh-CN" w:bidi="zh-CN"/>
        </w:rPr>
      </w:pPr>
    </w:p>
    <w:p>
      <w:pPr>
        <w:rPr>
          <w:rFonts w:cs="Microsoft JhengHei" w:asciiTheme="majorEastAsia" w:hAnsiTheme="majorEastAsia" w:eastAsiaTheme="majorEastAsia"/>
          <w:b/>
          <w:bCs/>
          <w:kern w:val="0"/>
          <w:sz w:val="44"/>
          <w:szCs w:val="44"/>
          <w:lang w:val="zh-CN" w:bidi="zh-CN"/>
        </w:rPr>
      </w:pPr>
    </w:p>
    <w:p>
      <w:pPr>
        <w:pStyle w:val="2"/>
        <w:rPr>
          <w:lang w:val="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8"/>
        <w:ind w:left="5250"/>
        <w:rPr>
          <w:sz w:val="20"/>
        </w:rPr>
      </w:pPr>
    </w:p>
    <w:p>
      <w:pPr>
        <w:pStyle w:val="8"/>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60288"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8"/>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60288;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XPC12AAAAAsBAAAPAAAAAAAAAAEA&#10;IAAAACIAAABkcnMvZG93bnJldi54bWxQSwECFAAUAAAACACHTuJAObsQYQ8CAAAGBAAADgAAAAAA&#10;AAABACAAAAAnAQAAZHJzL2Uyb0RvYy54bWxQSwUGAAAAAAYABgBZAQAAqAUAAAAA&#10;">
                <v:fill on="f" focussize="0,0"/>
                <v:stroke on="f"/>
                <v:imagedata o:title=""/>
                <o:lock v:ext="edit" aspectratio="f"/>
                <v:textbox inset="0mm,0mm,0mm,0mm">
                  <w:txbxContent>
                    <w:p>
                      <w:pPr>
                        <w:pStyle w:val="8"/>
                        <w:ind w:left="5250"/>
                      </w:pPr>
                    </w:p>
                  </w:txbxContent>
                </v:textbox>
              </v:shape>
            </w:pict>
          </mc:Fallback>
        </mc:AlternateContent>
      </w:r>
      <w:r>
        <w:rPr>
          <w:b/>
          <w:sz w:val="24"/>
        </w:rPr>
        <w:t>一所需货物名称、规格及价格：</w:t>
      </w:r>
    </w:p>
    <w:tbl>
      <w:tblPr>
        <w:tblStyle w:val="16"/>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6"/>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6"/>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6"/>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6"/>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6"/>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6"/>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6"/>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513" w:type="dxa"/>
            <w:tcBorders>
              <w:top w:val="single" w:color="000000" w:sz="6" w:space="0"/>
              <w:left w:val="single" w:color="000000" w:sz="6" w:space="0"/>
              <w:bottom w:val="single" w:color="000000" w:sz="6" w:space="0"/>
            </w:tcBorders>
          </w:tcPr>
          <w:p>
            <w:pPr>
              <w:pStyle w:val="26"/>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6"/>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513" w:type="dxa"/>
            <w:tcBorders>
              <w:top w:val="single" w:color="000000" w:sz="6" w:space="0"/>
              <w:left w:val="single" w:color="000000" w:sz="6" w:space="0"/>
              <w:bottom w:val="single" w:color="000000" w:sz="6" w:space="0"/>
            </w:tcBorders>
          </w:tcPr>
          <w:p>
            <w:pPr>
              <w:pStyle w:val="26"/>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6"/>
              <w:spacing w:before="9"/>
              <w:rPr>
                <w:rFonts w:ascii="新宋体"/>
                <w:sz w:val="19"/>
              </w:rPr>
            </w:pPr>
          </w:p>
          <w:p>
            <w:pPr>
              <w:pStyle w:val="26"/>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6"/>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6"/>
              <w:spacing w:before="27"/>
              <w:ind w:left="105"/>
              <w:rPr>
                <w:rFonts w:ascii="新宋体" w:eastAsia="新宋体"/>
              </w:rPr>
            </w:pPr>
            <w:r>
              <w:rPr>
                <w:rFonts w:hint="eastAsia" w:ascii="新宋体" w:eastAsia="新宋体"/>
              </w:rPr>
              <w:t>大写：</w:t>
            </w:r>
          </w:p>
        </w:tc>
      </w:tr>
    </w:tbl>
    <w:p>
      <w:pPr>
        <w:tabs>
          <w:tab w:val="left" w:pos="659"/>
        </w:tabs>
        <w:spacing w:line="360" w:lineRule="auto"/>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360" w:lineRule="auto"/>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360" w:lineRule="auto"/>
        <w:ind w:right="536"/>
        <w:rPr>
          <w:rFonts w:ascii="新宋体" w:eastAsia="新宋体"/>
          <w:sz w:val="24"/>
        </w:rPr>
      </w:pPr>
      <w:r>
        <w:rPr>
          <w:rFonts w:hint="eastAsia" w:ascii="新宋体" w:eastAsia="新宋体"/>
          <w:sz w:val="24"/>
        </w:rPr>
        <w:t>卖方应向用户提供以下技术文件：</w:t>
      </w:r>
    </w:p>
    <w:p>
      <w:pPr>
        <w:spacing w:before="118" w:line="360" w:lineRule="auto"/>
        <w:ind w:right="536"/>
        <w:rPr>
          <w:rFonts w:ascii="新宋体" w:eastAsia="新宋体"/>
          <w:sz w:val="24"/>
        </w:rPr>
      </w:pPr>
      <w:r>
        <w:rPr>
          <w:rFonts w:hint="eastAsia" w:ascii="新宋体" w:eastAsia="新宋体"/>
          <w:sz w:val="24"/>
        </w:rPr>
        <w:t>1、 设备使用手册、安装使用指南、维护维修（含线路图）说明书或服务手册。</w:t>
      </w:r>
      <w:r>
        <w:rPr>
          <w:rFonts w:hint="eastAsia" w:ascii="新宋体" w:eastAsia="新宋体"/>
          <w:sz w:val="24"/>
          <w:lang w:val="en-US" w:eastAsia="zh-CN"/>
        </w:rPr>
        <w:t>进口设备及备件</w:t>
      </w:r>
      <w:r>
        <w:rPr>
          <w:rFonts w:hint="eastAsia" w:ascii="新宋体" w:eastAsia="新宋体"/>
          <w:sz w:val="24"/>
        </w:rPr>
        <w:t>资料必须提供中、英文对照文本；</w:t>
      </w:r>
    </w:p>
    <w:p>
      <w:pPr>
        <w:spacing w:line="360" w:lineRule="auto"/>
        <w:ind w:right="536"/>
        <w:rPr>
          <w:rFonts w:ascii="新宋体" w:eastAsia="新宋体"/>
          <w:sz w:val="24"/>
        </w:rPr>
      </w:pPr>
      <w:r>
        <w:rPr>
          <w:rFonts w:hint="eastAsia" w:ascii="新宋体" w:eastAsia="新宋体"/>
          <w:sz w:val="24"/>
        </w:rPr>
        <w:t>2、 设备技术参数表、设备制造、安装、调试、验收规范；</w:t>
      </w:r>
    </w:p>
    <w:p>
      <w:pPr>
        <w:spacing w:before="118" w:line="360" w:lineRule="auto"/>
        <w:ind w:right="536"/>
        <w:rPr>
          <w:rFonts w:ascii="新宋体" w:eastAsia="新宋体"/>
          <w:sz w:val="24"/>
        </w:rPr>
      </w:pPr>
      <w:r>
        <w:rPr>
          <w:rFonts w:hint="eastAsia" w:ascii="新宋体" w:eastAsia="新宋体"/>
          <w:sz w:val="24"/>
        </w:rPr>
        <w:t>3、 中文操作手册、安装、调试及使用说明书；</w:t>
      </w:r>
    </w:p>
    <w:p>
      <w:pPr>
        <w:spacing w:before="118" w:line="360" w:lineRule="auto"/>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360" w:lineRule="auto"/>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360" w:lineRule="auto"/>
        <w:ind w:right="536"/>
        <w:rPr>
          <w:rFonts w:ascii="新宋体" w:eastAsia="新宋体"/>
          <w:sz w:val="24"/>
        </w:rPr>
      </w:pPr>
      <w:r>
        <w:rPr>
          <w:rFonts w:hint="eastAsia" w:ascii="新宋体" w:eastAsia="新宋体"/>
          <w:sz w:val="24"/>
        </w:rPr>
        <w:t>6、 须提供海关报关单（如为进口设备）；</w:t>
      </w:r>
    </w:p>
    <w:p>
      <w:pPr>
        <w:tabs>
          <w:tab w:val="left" w:pos="657"/>
        </w:tabs>
        <w:spacing w:line="360" w:lineRule="auto"/>
        <w:ind w:right="536"/>
        <w:rPr>
          <w:rFonts w:ascii="新宋体" w:eastAsia="新宋体"/>
          <w:b/>
          <w:sz w:val="24"/>
        </w:rPr>
      </w:pPr>
      <w:r>
        <w:rPr>
          <w:rFonts w:hint="eastAsia" w:ascii="新宋体" w:eastAsia="新宋体"/>
          <w:b/>
          <w:sz w:val="24"/>
        </w:rPr>
        <w:t>三</w:t>
      </w:r>
      <w:r>
        <w:rPr>
          <w:rFonts w:hint="eastAsia" w:ascii="新宋体" w:eastAsia="新宋体"/>
          <w:b/>
          <w:sz w:val="24"/>
          <w:lang w:val="en-US" w:eastAsia="zh-CN"/>
        </w:rPr>
        <w:t xml:space="preserve"> </w:t>
      </w:r>
      <w:r>
        <w:rPr>
          <w:rFonts w:hint="eastAsia" w:ascii="新宋体" w:eastAsia="新宋体"/>
          <w:b/>
          <w:sz w:val="24"/>
        </w:rPr>
        <w:t>质量保证：</w:t>
      </w:r>
    </w:p>
    <w:p>
      <w:pPr>
        <w:spacing w:before="118" w:line="360" w:lineRule="auto"/>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360" w:lineRule="auto"/>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360" w:lineRule="auto"/>
        <w:ind w:right="536"/>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spacing w:line="360" w:lineRule="auto"/>
        <w:ind w:right="536"/>
        <w:rPr>
          <w:rFonts w:ascii="新宋体" w:eastAsia="新宋体"/>
          <w:sz w:val="24"/>
        </w:rPr>
        <w:sectPr>
          <w:footerReference r:id="rId3" w:type="default"/>
          <w:pgSz w:w="11910" w:h="16840"/>
          <w:pgMar w:top="1560" w:right="995" w:bottom="780" w:left="1460" w:header="0" w:footer="500" w:gutter="0"/>
          <w:cols w:space="720" w:num="1"/>
        </w:sectPr>
      </w:pPr>
    </w:p>
    <w:p>
      <w:pPr>
        <w:tabs>
          <w:tab w:val="left" w:pos="659"/>
        </w:tabs>
        <w:spacing w:before="58" w:line="360" w:lineRule="auto"/>
        <w:ind w:right="536"/>
        <w:rPr>
          <w:rFonts w:ascii="新宋体" w:eastAsia="新宋体"/>
          <w:b/>
          <w:sz w:val="24"/>
        </w:rPr>
      </w:pPr>
      <w:r>
        <w:rPr>
          <w:rFonts w:hint="eastAsia" w:ascii="新宋体" w:eastAsia="新宋体"/>
          <w:b/>
          <w:sz w:val="24"/>
        </w:rPr>
        <w:t>四</w:t>
      </w:r>
      <w:r>
        <w:rPr>
          <w:rFonts w:hint="eastAsia" w:ascii="新宋体" w:eastAsia="新宋体"/>
          <w:b/>
          <w:sz w:val="24"/>
          <w:lang w:val="en-US" w:eastAsia="zh-CN"/>
        </w:rPr>
        <w:t xml:space="preserve"> </w:t>
      </w:r>
      <w:r>
        <w:rPr>
          <w:rFonts w:hint="eastAsia" w:ascii="新宋体" w:eastAsia="新宋体"/>
          <w:b/>
          <w:sz w:val="24"/>
        </w:rPr>
        <w:t>设备安装与验收：</w:t>
      </w:r>
    </w:p>
    <w:p>
      <w:pPr>
        <w:spacing w:before="118" w:line="360" w:lineRule="auto"/>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360" w:lineRule="auto"/>
        <w:ind w:right="536"/>
        <w:rPr>
          <w:rFonts w:ascii="新宋体" w:eastAsia="新宋体"/>
          <w:sz w:val="24"/>
        </w:rPr>
      </w:pPr>
      <w:r>
        <w:rPr>
          <w:rFonts w:hint="eastAsia" w:ascii="新宋体" w:eastAsia="新宋体"/>
          <w:sz w:val="24"/>
        </w:rPr>
        <w:t>2、 验收地点：用户单位。</w:t>
      </w:r>
    </w:p>
    <w:p>
      <w:pPr>
        <w:spacing w:before="118" w:line="360" w:lineRule="auto"/>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360" w:lineRule="auto"/>
        <w:ind w:right="536"/>
        <w:rPr>
          <w:rFonts w:ascii="新宋体" w:eastAsia="新宋体"/>
          <w:b/>
          <w:sz w:val="24"/>
        </w:rPr>
      </w:pPr>
      <w:r>
        <w:rPr>
          <w:rFonts w:hint="eastAsia" w:ascii="新宋体" w:eastAsia="新宋体"/>
          <w:b/>
          <w:sz w:val="24"/>
        </w:rPr>
        <w:t>五 培 训 ：</w:t>
      </w:r>
    </w:p>
    <w:p>
      <w:pPr>
        <w:spacing w:before="118" w:line="360" w:lineRule="auto"/>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360" w:lineRule="auto"/>
        <w:ind w:right="536"/>
        <w:rPr>
          <w:rFonts w:ascii="新宋体" w:eastAsia="新宋体"/>
          <w:b/>
          <w:sz w:val="24"/>
        </w:rPr>
      </w:pPr>
      <w:r>
        <w:rPr>
          <w:rFonts w:hint="eastAsia" w:ascii="新宋体" w:eastAsia="新宋体"/>
          <w:b/>
          <w:sz w:val="24"/>
        </w:rPr>
        <w:t>六</w:t>
      </w:r>
      <w:r>
        <w:rPr>
          <w:rFonts w:hint="eastAsia" w:ascii="新宋体" w:eastAsia="新宋体"/>
          <w:b/>
          <w:sz w:val="24"/>
          <w:lang w:val="en-US" w:eastAsia="zh-CN"/>
        </w:rPr>
        <w:t xml:space="preserve"> </w:t>
      </w:r>
      <w:r>
        <w:rPr>
          <w:rFonts w:hint="eastAsia" w:ascii="新宋体" w:eastAsia="新宋体"/>
          <w:b/>
          <w:sz w:val="24"/>
        </w:rPr>
        <w:t>特殊工具：</w:t>
      </w:r>
    </w:p>
    <w:p>
      <w:pPr>
        <w:spacing w:before="118" w:line="360" w:lineRule="auto"/>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360" w:lineRule="auto"/>
        <w:ind w:right="536"/>
        <w:rPr>
          <w:rFonts w:ascii="新宋体" w:eastAsia="新宋体"/>
          <w:b/>
          <w:sz w:val="24"/>
        </w:rPr>
      </w:pPr>
      <w:r>
        <w:rPr>
          <w:rFonts w:hint="eastAsia" w:ascii="新宋体" w:eastAsia="新宋体"/>
          <w:b/>
          <w:sz w:val="24"/>
        </w:rPr>
        <w:t>七</w:t>
      </w:r>
      <w:r>
        <w:rPr>
          <w:rFonts w:hint="eastAsia" w:ascii="新宋体" w:eastAsia="新宋体"/>
          <w:b/>
          <w:sz w:val="24"/>
          <w:lang w:val="en-US" w:eastAsia="zh-CN"/>
        </w:rPr>
        <w:t xml:space="preserve"> </w:t>
      </w:r>
      <w:r>
        <w:rPr>
          <w:rFonts w:hint="eastAsia" w:ascii="新宋体" w:eastAsia="新宋体"/>
          <w:b/>
          <w:w w:val="95"/>
          <w:sz w:val="24"/>
        </w:rPr>
        <w:t>质保期：</w:t>
      </w:r>
    </w:p>
    <w:p>
      <w:pPr>
        <w:spacing w:before="118" w:line="360" w:lineRule="auto"/>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w:t>
      </w:r>
      <w:r>
        <w:rPr>
          <w:rFonts w:hint="eastAsia" w:ascii="新宋体" w:eastAsia="新宋体"/>
          <w:sz w:val="24"/>
          <w:lang w:val="en-US" w:eastAsia="zh-CN"/>
        </w:rPr>
        <w:t>维修或</w:t>
      </w:r>
      <w:r>
        <w:rPr>
          <w:rFonts w:hint="eastAsia" w:ascii="新宋体" w:eastAsia="新宋体"/>
          <w:sz w:val="24"/>
        </w:rPr>
        <w:t>更换。</w:t>
      </w:r>
    </w:p>
    <w:p>
      <w:pPr>
        <w:tabs>
          <w:tab w:val="left" w:pos="659"/>
        </w:tabs>
        <w:spacing w:before="1" w:line="360" w:lineRule="auto"/>
        <w:ind w:right="536"/>
        <w:rPr>
          <w:rFonts w:ascii="新宋体" w:eastAsia="新宋体"/>
          <w:b/>
          <w:sz w:val="24"/>
        </w:rPr>
      </w:pPr>
      <w:r>
        <w:rPr>
          <w:rFonts w:hint="eastAsia" w:ascii="新宋体" w:eastAsia="新宋体"/>
          <w:b/>
          <w:sz w:val="24"/>
        </w:rPr>
        <w:t>八</w:t>
      </w:r>
      <w:r>
        <w:rPr>
          <w:rFonts w:hint="eastAsia" w:ascii="新宋体" w:eastAsia="新宋体"/>
          <w:b/>
          <w:sz w:val="24"/>
          <w:lang w:val="en-US" w:eastAsia="zh-CN"/>
        </w:rPr>
        <w:t xml:space="preserve"> </w:t>
      </w:r>
      <w:r>
        <w:rPr>
          <w:rFonts w:hint="eastAsia" w:ascii="新宋体" w:eastAsia="新宋体"/>
          <w:b/>
          <w:sz w:val="24"/>
        </w:rPr>
        <w:t>备品备件：</w:t>
      </w:r>
    </w:p>
    <w:p>
      <w:pPr>
        <w:spacing w:before="118" w:line="360" w:lineRule="auto"/>
        <w:ind w:right="536"/>
        <w:rPr>
          <w:rFonts w:ascii="新宋体" w:eastAsia="新宋体"/>
          <w:sz w:val="24"/>
        </w:rPr>
      </w:pPr>
      <w:r>
        <w:rPr>
          <w:rFonts w:hint="eastAsia" w:ascii="新宋体" w:eastAsia="新宋体"/>
          <w:sz w:val="24"/>
        </w:rPr>
        <w:t>1、 卖方应提供按出厂标准供应的备品备件清单。</w:t>
      </w:r>
    </w:p>
    <w:p>
      <w:pPr>
        <w:spacing w:before="118" w:line="360" w:lineRule="auto"/>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360" w:lineRule="auto"/>
        <w:ind w:right="536"/>
        <w:rPr>
          <w:rFonts w:ascii="新宋体" w:eastAsia="新宋体"/>
          <w:b/>
          <w:sz w:val="24"/>
        </w:rPr>
      </w:pPr>
      <w:r>
        <w:rPr>
          <w:rFonts w:hint="eastAsia" w:ascii="新宋体" w:eastAsia="新宋体"/>
          <w:b/>
          <w:sz w:val="24"/>
        </w:rPr>
        <w:t>九</w:t>
      </w:r>
      <w:r>
        <w:rPr>
          <w:rFonts w:hint="eastAsia" w:ascii="新宋体" w:eastAsia="新宋体"/>
          <w:b/>
          <w:sz w:val="24"/>
          <w:lang w:val="en-US" w:eastAsia="zh-CN"/>
        </w:rPr>
        <w:t xml:space="preserve"> </w:t>
      </w:r>
      <w:r>
        <w:rPr>
          <w:rFonts w:hint="eastAsia" w:ascii="新宋体" w:eastAsia="新宋体"/>
          <w:b/>
          <w:w w:val="95"/>
          <w:sz w:val="24"/>
        </w:rPr>
        <w:t>售后服务：</w:t>
      </w:r>
    </w:p>
    <w:p>
      <w:pPr>
        <w:spacing w:before="118" w:line="360" w:lineRule="auto"/>
        <w:ind w:right="536"/>
        <w:rPr>
          <w:rFonts w:ascii="新宋体" w:eastAsia="新宋体"/>
          <w:sz w:val="24"/>
        </w:rPr>
      </w:pPr>
      <w:r>
        <w:rPr>
          <w:rFonts w:hint="eastAsia" w:ascii="新宋体" w:eastAsia="新宋体"/>
          <w:sz w:val="24"/>
        </w:rPr>
        <w:t>1、 在货物的质保期内，如有制造质量的问题或质量缺陷，卖方应免费予以</w:t>
      </w:r>
      <w:r>
        <w:rPr>
          <w:rFonts w:hint="eastAsia" w:ascii="新宋体" w:eastAsia="新宋体"/>
          <w:sz w:val="24"/>
          <w:lang w:val="en-US" w:eastAsia="zh-CN"/>
        </w:rPr>
        <w:t>维修或</w:t>
      </w:r>
      <w:r>
        <w:rPr>
          <w:rFonts w:hint="eastAsia" w:ascii="新宋体" w:eastAsia="新宋体"/>
          <w:sz w:val="24"/>
        </w:rPr>
        <w:t>更换，保证用户工作及时正常运行。在用户使用的头三个月内，同一台设备</w:t>
      </w:r>
      <w:r>
        <w:rPr>
          <w:rFonts w:hint="eastAsia" w:ascii="新宋体" w:eastAsia="新宋体"/>
          <w:sz w:val="24"/>
          <w:lang w:val="en-US" w:eastAsia="zh-CN"/>
        </w:rPr>
        <w:t>或部件等</w:t>
      </w:r>
      <w:r>
        <w:rPr>
          <w:rFonts w:hint="eastAsia" w:ascii="新宋体" w:eastAsia="新宋体"/>
          <w:sz w:val="24"/>
        </w:rPr>
        <w:t>出现第二次质量问题，卖方应免费整体更换。卖方须在质保期内应免费提供备件并</w:t>
      </w:r>
      <w:r>
        <w:rPr>
          <w:rFonts w:hint="eastAsia" w:ascii="新宋体" w:eastAsia="新宋体"/>
          <w:sz w:val="24"/>
          <w:lang w:val="en-US" w:eastAsia="zh-CN"/>
        </w:rPr>
        <w:t>承担</w:t>
      </w:r>
      <w:r>
        <w:rPr>
          <w:rFonts w:hint="eastAsia" w:ascii="新宋体" w:eastAsia="新宋体"/>
          <w:sz w:val="24"/>
        </w:rPr>
        <w:t>终身</w:t>
      </w:r>
      <w:r>
        <w:rPr>
          <w:rFonts w:hint="eastAsia" w:ascii="新宋体" w:eastAsia="新宋体"/>
          <w:sz w:val="24"/>
          <w:lang w:val="en-US" w:eastAsia="zh-CN"/>
        </w:rPr>
        <w:t>有价</w:t>
      </w:r>
      <w:r>
        <w:rPr>
          <w:rFonts w:hint="eastAsia" w:ascii="新宋体" w:eastAsia="新宋体"/>
          <w:sz w:val="24"/>
        </w:rPr>
        <w:t>维修</w:t>
      </w:r>
      <w:r>
        <w:rPr>
          <w:rFonts w:hint="eastAsia" w:ascii="新宋体" w:eastAsia="新宋体"/>
          <w:sz w:val="24"/>
          <w:lang w:val="en-US" w:eastAsia="zh-CN"/>
        </w:rPr>
        <w:t>责任</w:t>
      </w:r>
      <w:r>
        <w:rPr>
          <w:rFonts w:hint="eastAsia" w:ascii="新宋体" w:eastAsia="新宋体"/>
          <w:sz w:val="24"/>
        </w:rPr>
        <w:t>。</w:t>
      </w:r>
    </w:p>
    <w:p>
      <w:pPr>
        <w:spacing w:line="360" w:lineRule="auto"/>
        <w:ind w:right="536"/>
        <w:rPr>
          <w:rFonts w:ascii="新宋体" w:eastAsia="新宋体"/>
          <w:sz w:val="24"/>
        </w:rPr>
      </w:pPr>
      <w:r>
        <w:rPr>
          <w:rFonts w:hint="eastAsia" w:ascii="新宋体" w:eastAsia="新宋体"/>
          <w:sz w:val="24"/>
        </w:rPr>
        <w:t>2、 卖方应在质保期内提供免费上门维修服务，并终身</w:t>
      </w:r>
      <w:r>
        <w:rPr>
          <w:rFonts w:hint="eastAsia" w:ascii="新宋体" w:eastAsia="新宋体"/>
          <w:sz w:val="24"/>
          <w:lang w:val="en-US" w:eastAsia="zh-CN"/>
        </w:rPr>
        <w:t>有偿</w:t>
      </w:r>
      <w:r>
        <w:rPr>
          <w:rFonts w:hint="eastAsia" w:ascii="新宋体" w:eastAsia="新宋体"/>
          <w:sz w:val="24"/>
        </w:rPr>
        <w:t>维护，需注明售后服务机构的名称、联系方法并提供证明材料。</w:t>
      </w:r>
    </w:p>
    <w:p>
      <w:pPr>
        <w:spacing w:line="360" w:lineRule="auto"/>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360" w:lineRule="auto"/>
        <w:ind w:right="536"/>
        <w:rPr>
          <w:rFonts w:ascii="新宋体" w:eastAsia="新宋体"/>
          <w:b/>
          <w:sz w:val="24"/>
        </w:rPr>
      </w:pPr>
      <w:r>
        <w:rPr>
          <w:rFonts w:hint="eastAsia" w:ascii="新宋体" w:eastAsia="新宋体"/>
          <w:b/>
          <w:sz w:val="24"/>
        </w:rPr>
        <w:t>十</w:t>
      </w:r>
      <w:r>
        <w:rPr>
          <w:rFonts w:hint="eastAsia" w:ascii="新宋体" w:eastAsia="新宋体"/>
          <w:b/>
          <w:sz w:val="24"/>
          <w:lang w:val="en-US" w:eastAsia="zh-CN"/>
        </w:rPr>
        <w:t xml:space="preserve"> </w:t>
      </w:r>
      <w:r>
        <w:rPr>
          <w:rFonts w:hint="eastAsia" w:ascii="新宋体" w:eastAsia="新宋体"/>
          <w:b/>
          <w:sz w:val="24"/>
        </w:rPr>
        <w:t>交货时间、地点：</w:t>
      </w:r>
    </w:p>
    <w:p>
      <w:pPr>
        <w:spacing w:before="4" w:line="360" w:lineRule="auto"/>
        <w:ind w:right="536"/>
        <w:rPr>
          <w:rFonts w:ascii="新宋体" w:eastAsia="新宋体"/>
          <w:sz w:val="24"/>
        </w:rPr>
      </w:pPr>
      <w:r>
        <w:rPr>
          <w:rFonts w:hint="eastAsia" w:ascii="新宋体" w:eastAsia="新宋体"/>
          <w:sz w:val="24"/>
        </w:rPr>
        <w:t xml:space="preserve">1、 交货时间： </w:t>
      </w:r>
      <w:r>
        <w:rPr>
          <w:rFonts w:hint="eastAsia" w:ascii="新宋体" w:eastAsia="新宋体"/>
          <w:sz w:val="24"/>
          <w:lang w:val="en-US" w:eastAsia="zh-CN"/>
        </w:rPr>
        <w:t>30</w:t>
      </w:r>
      <w:r>
        <w:rPr>
          <w:rFonts w:hint="eastAsia" w:ascii="新宋体" w:eastAsia="新宋体"/>
          <w:sz w:val="24"/>
        </w:rPr>
        <w:t>日历天内</w:t>
      </w:r>
    </w:p>
    <w:p>
      <w:pPr>
        <w:spacing w:before="118" w:line="360" w:lineRule="auto"/>
        <w:ind w:right="536"/>
        <w:rPr>
          <w:rFonts w:ascii="新宋体" w:eastAsia="新宋体"/>
          <w:sz w:val="24"/>
        </w:rPr>
      </w:pPr>
      <w:r>
        <w:rPr>
          <w:rFonts w:hint="eastAsia" w:ascii="新宋体" w:eastAsia="新宋体"/>
          <w:sz w:val="24"/>
        </w:rPr>
        <w:t>2、 交货地点：招标人指定地点</w:t>
      </w:r>
    </w:p>
    <w:p>
      <w:pPr>
        <w:spacing w:before="118" w:line="360" w:lineRule="auto"/>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注：如是进口设备须由中标人自行办理一切相关手续，若因手续问题导致无法交货，</w:t>
      </w:r>
      <w:r>
        <w:rPr>
          <w:rFonts w:hint="eastAsia" w:ascii="新宋体" w:eastAsia="新宋体"/>
          <w:b/>
          <w:sz w:val="24"/>
        </w:rPr>
        <w:t>全部责任由中标人承担。招标人有权进行重新采购。）</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十一</w:t>
      </w:r>
      <w:r>
        <w:rPr>
          <w:rFonts w:hint="eastAsia" w:ascii="新宋体" w:eastAsia="新宋体"/>
          <w:b/>
          <w:sz w:val="24"/>
          <w:lang w:val="en-US" w:eastAsia="zh-CN"/>
        </w:rPr>
        <w:t xml:space="preserve"> </w:t>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360" w:lineRule="auto"/>
        <w:ind w:right="536"/>
        <w:rPr>
          <w:rFonts w:ascii="新宋体" w:eastAsia="新宋体"/>
          <w:sz w:val="24"/>
        </w:rPr>
      </w:pPr>
      <w:r>
        <w:rPr>
          <w:rFonts w:hint="eastAsia" w:ascii="新宋体" w:eastAsia="新宋体"/>
          <w:sz w:val="24"/>
        </w:rPr>
        <w:t>1、 支付方式：合同签订后7天内支付合同价款的30%，货物到场</w:t>
      </w:r>
      <w:r>
        <w:rPr>
          <w:rFonts w:hint="eastAsia" w:ascii="新宋体" w:eastAsia="新宋体"/>
          <w:sz w:val="24"/>
          <w:lang w:val="en-US" w:eastAsia="zh-CN"/>
        </w:rPr>
        <w:t>安装前，甲方验收合格后</w:t>
      </w:r>
      <w:r>
        <w:rPr>
          <w:rFonts w:hint="eastAsia" w:ascii="新宋体" w:eastAsia="新宋体"/>
          <w:sz w:val="24"/>
        </w:rPr>
        <w:t>支付至合同价款的60%</w:t>
      </w:r>
      <w:r>
        <w:rPr>
          <w:rFonts w:hint="eastAsia" w:ascii="新宋体" w:eastAsia="新宋体"/>
          <w:sz w:val="24"/>
          <w:lang w:eastAsia="zh-CN"/>
        </w:rPr>
        <w:t>，</w:t>
      </w:r>
      <w:r>
        <w:rPr>
          <w:rFonts w:hint="eastAsia" w:ascii="新宋体" w:eastAsia="新宋体"/>
          <w:sz w:val="24"/>
        </w:rPr>
        <w:t>安装验收合格后支付至合同价款的9</w:t>
      </w:r>
      <w:r>
        <w:rPr>
          <w:rFonts w:hint="eastAsia" w:ascii="新宋体" w:eastAsia="新宋体"/>
          <w:sz w:val="24"/>
          <w:lang w:val="en-US" w:eastAsia="zh-CN"/>
        </w:rPr>
        <w:t>5</w:t>
      </w:r>
      <w:r>
        <w:rPr>
          <w:rFonts w:hint="eastAsia" w:ascii="新宋体" w:eastAsia="新宋体"/>
          <w:sz w:val="24"/>
        </w:rPr>
        <w:t>%，留</w:t>
      </w:r>
      <w:r>
        <w:rPr>
          <w:rFonts w:hint="eastAsia" w:ascii="新宋体" w:eastAsia="新宋体"/>
          <w:sz w:val="24"/>
          <w:lang w:val="en-US" w:eastAsia="zh-CN"/>
        </w:rPr>
        <w:t>5</w:t>
      </w:r>
      <w:r>
        <w:rPr>
          <w:rFonts w:hint="eastAsia" w:ascii="新宋体" w:eastAsia="新宋体"/>
          <w:sz w:val="24"/>
        </w:rPr>
        <w:t>%</w:t>
      </w:r>
      <w:r>
        <w:rPr>
          <w:rFonts w:hint="eastAsia" w:ascii="新宋体" w:eastAsia="新宋体"/>
          <w:sz w:val="24"/>
          <w:lang w:val="en-US" w:eastAsia="zh-CN"/>
        </w:rPr>
        <w:t xml:space="preserve"> </w:t>
      </w:r>
      <w:r>
        <w:rPr>
          <w:rFonts w:hint="eastAsia" w:ascii="新宋体" w:eastAsia="新宋体"/>
          <w:sz w:val="24"/>
        </w:rPr>
        <w:t>的质保金</w:t>
      </w:r>
      <w:r>
        <w:rPr>
          <w:rFonts w:hint="eastAsia" w:ascii="新宋体" w:eastAsia="新宋体"/>
          <w:sz w:val="24"/>
          <w:lang w:eastAsia="zh-CN"/>
        </w:rPr>
        <w:t>，</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r>
        <w:rPr>
          <w:rFonts w:hint="eastAsia" w:ascii="新宋体" w:eastAsia="新宋体"/>
          <w:sz w:val="24"/>
        </w:rPr>
        <w:t>。</w:t>
      </w:r>
    </w:p>
    <w:p>
      <w:pPr>
        <w:spacing w:before="4" w:line="360" w:lineRule="auto"/>
        <w:ind w:right="536"/>
        <w:rPr>
          <w:rFonts w:ascii="新宋体" w:eastAsia="新宋体"/>
          <w:sz w:val="24"/>
        </w:rPr>
      </w:pPr>
      <w:r>
        <w:rPr>
          <w:rFonts w:hint="eastAsia" w:ascii="新宋体" w:eastAsia="新宋体"/>
          <w:sz w:val="24"/>
        </w:rPr>
        <w:t>2、 付款单位：湖南省湘澧盐化有限责任公司</w:t>
      </w:r>
    </w:p>
    <w:p>
      <w:pPr>
        <w:spacing w:line="360" w:lineRule="auto"/>
        <w:ind w:right="536"/>
        <w:rPr>
          <w:rFonts w:ascii="新宋体" w:eastAsia="新宋体"/>
          <w:b/>
          <w:sz w:val="24"/>
        </w:rPr>
      </w:pPr>
      <w:r>
        <w:rPr>
          <w:rFonts w:hint="eastAsia" w:ascii="新宋体" w:eastAsia="新宋体"/>
          <w:b/>
          <w:sz w:val="24"/>
        </w:rPr>
        <w:t>十二 违约责任：</w:t>
      </w:r>
    </w:p>
    <w:p>
      <w:pPr>
        <w:pStyle w:val="24"/>
        <w:numPr>
          <w:ilvl w:val="0"/>
          <w:numId w:val="0"/>
        </w:numPr>
        <w:tabs>
          <w:tab w:val="left" w:pos="0"/>
        </w:tabs>
        <w:spacing w:line="360" w:lineRule="auto"/>
        <w:ind w:leftChars="0" w:right="536" w:rightChars="0"/>
        <w:rPr>
          <w:rFonts w:ascii="新宋体" w:hAnsi="新宋体" w:eastAsia="新宋体"/>
          <w:sz w:val="24"/>
          <w:szCs w:val="24"/>
        </w:rPr>
      </w:pPr>
      <w:r>
        <w:rPr>
          <w:rFonts w:hint="eastAsia" w:ascii="新宋体" w:hAnsi="新宋体" w:eastAsia="新宋体"/>
          <w:sz w:val="24"/>
          <w:szCs w:val="24"/>
          <w:lang w:val="en-US" w:eastAsia="zh-CN"/>
        </w:rPr>
        <w:t>1、</w:t>
      </w: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pacing w:val="-1"/>
          <w:sz w:val="24"/>
          <w:szCs w:val="24"/>
          <w:lang w:val="en-US" w:eastAsia="zh-CN"/>
        </w:rPr>
        <w:t>2、</w:t>
      </w: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3、</w:t>
      </w: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4、</w:t>
      </w: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360" w:lineRule="auto"/>
        <w:ind w:right="536"/>
        <w:rPr>
          <w:rFonts w:ascii="新宋体" w:eastAsia="新宋体"/>
          <w:sz w:val="24"/>
        </w:rPr>
      </w:pPr>
      <w:r>
        <w:rPr>
          <w:rFonts w:hint="eastAsia" w:ascii="新宋体" w:eastAsia="新宋体"/>
          <w:sz w:val="24"/>
        </w:rPr>
        <w:t>标志、包装、说明书、运输、贮存等都应执行国家的有关规定。</w:t>
      </w:r>
    </w:p>
    <w:p>
      <w:pPr>
        <w:spacing w:before="118" w:line="360" w:lineRule="auto"/>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360" w:lineRule="auto"/>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360" w:lineRule="auto"/>
        <w:ind w:right="536"/>
        <w:rPr>
          <w:rFonts w:ascii="新宋体" w:eastAsia="新宋体"/>
          <w:sz w:val="24"/>
        </w:rPr>
      </w:pPr>
      <w:r>
        <w:rPr>
          <w:rFonts w:hint="eastAsia" w:ascii="新宋体" w:eastAsia="新宋体"/>
          <w:sz w:val="24"/>
        </w:rPr>
        <w:t>3、 下列文件属合同的依据和附件：</w:t>
      </w:r>
    </w:p>
    <w:p>
      <w:pPr>
        <w:spacing w:before="58" w:line="360" w:lineRule="auto"/>
        <w:ind w:right="536"/>
        <w:rPr>
          <w:rFonts w:ascii="新宋体" w:eastAsia="新宋体"/>
          <w:sz w:val="24"/>
        </w:rPr>
      </w:pPr>
      <w:r>
        <w:rPr>
          <w:rFonts w:hint="eastAsia" w:ascii="新宋体" w:eastAsia="新宋体"/>
          <w:sz w:val="24"/>
        </w:rPr>
        <w:t>a、文件、补充说明及中标通知书；</w:t>
      </w:r>
    </w:p>
    <w:p>
      <w:pPr>
        <w:spacing w:before="118" w:line="360" w:lineRule="auto"/>
        <w:ind w:right="536"/>
        <w:rPr>
          <w:rFonts w:ascii="新宋体" w:eastAsia="新宋体"/>
          <w:sz w:val="24"/>
        </w:rPr>
      </w:pPr>
      <w:r>
        <w:rPr>
          <w:rFonts w:hint="eastAsia" w:ascii="新宋体" w:eastAsia="新宋体"/>
          <w:sz w:val="24"/>
        </w:rPr>
        <w:t>b、投标书、投标补充说明、服务承诺；</w:t>
      </w:r>
    </w:p>
    <w:p>
      <w:pPr>
        <w:spacing w:before="118" w:line="360" w:lineRule="auto"/>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8"/>
        <w:spacing w:before="6" w:line="480" w:lineRule="exact"/>
        <w:ind w:right="536"/>
        <w:rPr>
          <w:rFonts w:ascii="新宋体"/>
          <w:sz w:val="24"/>
          <w:szCs w:val="24"/>
        </w:rPr>
      </w:pPr>
    </w:p>
    <w:p>
      <w:pPr>
        <w:tabs>
          <w:tab w:val="left" w:pos="1099"/>
          <w:tab w:val="left" w:pos="4179"/>
          <w:tab w:val="left" w:pos="4619"/>
        </w:tabs>
        <w:spacing w:line="480" w:lineRule="exact"/>
        <w:ind w:right="536"/>
        <w:rPr>
          <w:rFonts w:hint="eastAsia" w:ascii="新宋体" w:eastAsia="新宋体"/>
          <w:sz w:val="24"/>
        </w:rPr>
      </w:pPr>
    </w:p>
    <w:p>
      <w:pPr>
        <w:tabs>
          <w:tab w:val="left" w:pos="1099"/>
          <w:tab w:val="left" w:pos="4179"/>
          <w:tab w:val="left" w:pos="4619"/>
        </w:tabs>
        <w:spacing w:line="480" w:lineRule="exact"/>
        <w:ind w:right="536"/>
        <w:rPr>
          <w:rFonts w:hint="eastAsia" w:ascii="新宋体" w:eastAsia="新宋体"/>
          <w:sz w:val="24"/>
        </w:rPr>
      </w:pPr>
    </w:p>
    <w:tbl>
      <w:tblPr>
        <w:tblStyle w:val="16"/>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hint="eastAsia" w:ascii="Microsoft JhengHei" w:eastAsiaTheme="minorEastAsia"/>
          <w:b/>
          <w:sz w:val="44"/>
          <w:szCs w:val="44"/>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8"/>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w:t>
      </w:r>
      <w:r>
        <w:rPr>
          <w:rFonts w:hint="eastAsia"/>
          <w:sz w:val="24"/>
          <w:lang w:val="en-US" w:eastAsia="zh-CN"/>
        </w:rPr>
        <w:t>1</w:t>
      </w:r>
      <w:r>
        <w:rPr>
          <w:rFonts w:hint="eastAsia"/>
          <w:sz w:val="24"/>
        </w:rPr>
        <w:t>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4" w:type="default"/>
          <w:pgSz w:w="11905" w:h="16838"/>
          <w:pgMar w:top="1440" w:right="1640" w:bottom="782" w:left="1700" w:header="0" w:footer="499" w:gutter="0"/>
          <w:cols w:space="0" w:num="1"/>
          <w:rtlGutter w:val="0"/>
          <w:docGrid w:linePitch="0" w:charSpace="0"/>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工</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程</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名</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称：</w:t>
      </w:r>
      <w:r>
        <w:rPr>
          <w:rFonts w:hint="eastAsia"/>
          <w:sz w:val="28"/>
          <w:szCs w:val="28"/>
          <w:lang w:val="en-US" w:eastAsia="zh-CN"/>
        </w:rPr>
        <w:t>生态盐分级分筛车间建设项目给袋式包装机</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建设单位名称：湖南省湘澧盐化有限责任公司</w:t>
      </w:r>
      <w:r>
        <w:rPr>
          <w:rFonts w:hint="eastAsia" w:asciiTheme="minorEastAsia" w:hAnsiTheme="minorEastAsia" w:eastAsiaTheme="minorEastAsia"/>
          <w:sz w:val="28"/>
          <w:szCs w:val="28"/>
          <w:lang w:val="en-US" w:eastAsia="zh-CN"/>
        </w:rPr>
        <w:t>包装厂</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rPr>
          <w:rFonts w:hint="eastAsia" w:asciiTheme="minorEastAsia" w:hAnsiTheme="minorEastAsia" w:eastAsiaTheme="minorEastAsia"/>
          <w:sz w:val="30"/>
          <w:szCs w:val="30"/>
        </w:rPr>
      </w:pPr>
      <w:r>
        <w:rPr>
          <w:rFonts w:hint="eastAsia" w:asciiTheme="minorEastAsia" w:hAnsiTheme="minorEastAsia" w:eastAsiaTheme="minorEastAsia"/>
          <w:sz w:val="28"/>
          <w:szCs w:val="28"/>
        </w:rPr>
        <w:t>报价明细</w:t>
      </w:r>
      <w:r>
        <w:rPr>
          <w:rFonts w:hint="eastAsia" w:asciiTheme="minorEastAsia" w:hAnsiTheme="minorEastAsia" w:eastAsiaTheme="minorEastAsia"/>
          <w:sz w:val="30"/>
          <w:szCs w:val="30"/>
        </w:rPr>
        <w:t>：</w:t>
      </w:r>
    </w:p>
    <w:tbl>
      <w:tblPr>
        <w:tblStyle w:val="17"/>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3419"/>
        <w:gridCol w:w="1241"/>
        <w:gridCol w:w="1746"/>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08" w:type="dxa"/>
            <w:vAlign w:val="center"/>
          </w:tcPr>
          <w:p>
            <w:pPr>
              <w:jc w:val="center"/>
              <w:rPr>
                <w:rFonts w:hint="eastAsia"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序号</w:t>
            </w:r>
          </w:p>
        </w:tc>
        <w:tc>
          <w:tcPr>
            <w:tcW w:w="3419" w:type="dxa"/>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货物名称</w:t>
            </w:r>
          </w:p>
        </w:tc>
        <w:tc>
          <w:tcPr>
            <w:tcW w:w="1241" w:type="dxa"/>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数量（台）</w:t>
            </w:r>
          </w:p>
        </w:tc>
        <w:tc>
          <w:tcPr>
            <w:tcW w:w="1746" w:type="dxa"/>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单价（万元）</w:t>
            </w:r>
          </w:p>
        </w:tc>
        <w:tc>
          <w:tcPr>
            <w:tcW w:w="2123" w:type="dxa"/>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08" w:type="dxa"/>
            <w:vAlign w:val="center"/>
          </w:tcPr>
          <w:p>
            <w:pPr>
              <w:jc w:val="center"/>
              <w:rPr>
                <w:rFonts w:hint="eastAsia"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1</w:t>
            </w:r>
          </w:p>
        </w:tc>
        <w:tc>
          <w:tcPr>
            <w:tcW w:w="3419" w:type="dxa"/>
            <w:vAlign w:val="center"/>
          </w:tcPr>
          <w:p>
            <w:pPr>
              <w:jc w:val="center"/>
              <w:rPr>
                <w:rFonts w:hint="eastAsia" w:asciiTheme="minorEastAsia" w:hAnsiTheme="minorEastAsia" w:eastAsiaTheme="minorEastAsia"/>
                <w:sz w:val="24"/>
                <w:szCs w:val="24"/>
                <w:vertAlign w:val="baseline"/>
              </w:rPr>
            </w:pPr>
          </w:p>
        </w:tc>
        <w:tc>
          <w:tcPr>
            <w:tcW w:w="1241" w:type="dxa"/>
            <w:vAlign w:val="center"/>
          </w:tcPr>
          <w:p>
            <w:pPr>
              <w:jc w:val="center"/>
              <w:rPr>
                <w:rFonts w:hint="eastAsia" w:asciiTheme="minorEastAsia" w:hAnsiTheme="minorEastAsia" w:eastAsiaTheme="minorEastAsia"/>
                <w:sz w:val="24"/>
                <w:szCs w:val="24"/>
                <w:vertAlign w:val="baseline"/>
              </w:rPr>
            </w:pPr>
          </w:p>
        </w:tc>
        <w:tc>
          <w:tcPr>
            <w:tcW w:w="1746" w:type="dxa"/>
            <w:vAlign w:val="center"/>
          </w:tcPr>
          <w:p>
            <w:pPr>
              <w:jc w:val="center"/>
              <w:rPr>
                <w:rFonts w:hint="eastAsia" w:asciiTheme="minorEastAsia" w:hAnsiTheme="minorEastAsia" w:eastAsiaTheme="minorEastAsia"/>
                <w:sz w:val="24"/>
                <w:szCs w:val="24"/>
                <w:vertAlign w:val="baseline"/>
              </w:rPr>
            </w:pPr>
          </w:p>
        </w:tc>
        <w:tc>
          <w:tcPr>
            <w:tcW w:w="2123" w:type="dxa"/>
            <w:vAlign w:val="center"/>
          </w:tcPr>
          <w:p>
            <w:pPr>
              <w:jc w:val="center"/>
              <w:rPr>
                <w:rFonts w:hint="eastAsia" w:asciiTheme="minorEastAsia" w:hAnsiTheme="minorEastAsia"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08" w:type="dxa"/>
            <w:vAlign w:val="center"/>
          </w:tcPr>
          <w:p>
            <w:pPr>
              <w:jc w:val="center"/>
              <w:rPr>
                <w:rFonts w:hint="eastAsia"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2</w:t>
            </w:r>
          </w:p>
        </w:tc>
        <w:tc>
          <w:tcPr>
            <w:tcW w:w="3419" w:type="dxa"/>
            <w:vAlign w:val="center"/>
          </w:tcPr>
          <w:p>
            <w:pPr>
              <w:jc w:val="center"/>
              <w:rPr>
                <w:rFonts w:hint="eastAsia" w:asciiTheme="minorEastAsia" w:hAnsiTheme="minorEastAsia" w:eastAsiaTheme="minorEastAsia"/>
                <w:sz w:val="24"/>
                <w:szCs w:val="24"/>
                <w:vertAlign w:val="baseline"/>
              </w:rPr>
            </w:pPr>
          </w:p>
        </w:tc>
        <w:tc>
          <w:tcPr>
            <w:tcW w:w="1241" w:type="dxa"/>
            <w:vAlign w:val="center"/>
          </w:tcPr>
          <w:p>
            <w:pPr>
              <w:jc w:val="center"/>
              <w:rPr>
                <w:rFonts w:hint="eastAsia" w:asciiTheme="minorEastAsia" w:hAnsiTheme="minorEastAsia" w:eastAsiaTheme="minorEastAsia"/>
                <w:sz w:val="24"/>
                <w:szCs w:val="24"/>
                <w:vertAlign w:val="baseline"/>
              </w:rPr>
            </w:pPr>
          </w:p>
        </w:tc>
        <w:tc>
          <w:tcPr>
            <w:tcW w:w="1746" w:type="dxa"/>
            <w:vAlign w:val="center"/>
          </w:tcPr>
          <w:p>
            <w:pPr>
              <w:jc w:val="center"/>
              <w:rPr>
                <w:rFonts w:hint="eastAsia" w:asciiTheme="minorEastAsia" w:hAnsiTheme="minorEastAsia" w:eastAsiaTheme="minorEastAsia"/>
                <w:sz w:val="24"/>
                <w:szCs w:val="24"/>
                <w:vertAlign w:val="baseline"/>
              </w:rPr>
            </w:pPr>
          </w:p>
        </w:tc>
        <w:tc>
          <w:tcPr>
            <w:tcW w:w="2123" w:type="dxa"/>
            <w:vAlign w:val="center"/>
          </w:tcPr>
          <w:p>
            <w:pPr>
              <w:jc w:val="center"/>
              <w:rPr>
                <w:rFonts w:hint="eastAsia" w:asciiTheme="minorEastAsia" w:hAnsiTheme="minorEastAsia"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8" w:type="dxa"/>
            <w:vAlign w:val="center"/>
          </w:tcPr>
          <w:p>
            <w:pPr>
              <w:jc w:val="center"/>
              <w:rPr>
                <w:rFonts w:hint="eastAsia"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n</w:t>
            </w:r>
          </w:p>
        </w:tc>
        <w:tc>
          <w:tcPr>
            <w:tcW w:w="3419" w:type="dxa"/>
            <w:vAlign w:val="center"/>
          </w:tcPr>
          <w:p>
            <w:pPr>
              <w:jc w:val="center"/>
              <w:rPr>
                <w:rFonts w:hint="eastAsia" w:asciiTheme="minorEastAsia" w:hAnsiTheme="minorEastAsia" w:eastAsiaTheme="minorEastAsia"/>
                <w:sz w:val="24"/>
                <w:szCs w:val="24"/>
                <w:vertAlign w:val="baseline"/>
              </w:rPr>
            </w:pPr>
          </w:p>
        </w:tc>
        <w:tc>
          <w:tcPr>
            <w:tcW w:w="1241" w:type="dxa"/>
            <w:vAlign w:val="center"/>
          </w:tcPr>
          <w:p>
            <w:pPr>
              <w:jc w:val="center"/>
              <w:rPr>
                <w:rFonts w:hint="eastAsia" w:asciiTheme="minorEastAsia" w:hAnsiTheme="minorEastAsia" w:eastAsiaTheme="minorEastAsia"/>
                <w:sz w:val="24"/>
                <w:szCs w:val="24"/>
                <w:vertAlign w:val="baseline"/>
              </w:rPr>
            </w:pPr>
          </w:p>
        </w:tc>
        <w:tc>
          <w:tcPr>
            <w:tcW w:w="1746" w:type="dxa"/>
            <w:vAlign w:val="center"/>
          </w:tcPr>
          <w:p>
            <w:pPr>
              <w:jc w:val="center"/>
              <w:rPr>
                <w:rFonts w:hint="eastAsia" w:asciiTheme="minorEastAsia" w:hAnsiTheme="minorEastAsia" w:eastAsiaTheme="minorEastAsia"/>
                <w:sz w:val="24"/>
                <w:szCs w:val="24"/>
                <w:vertAlign w:val="baseline"/>
              </w:rPr>
            </w:pPr>
          </w:p>
        </w:tc>
        <w:tc>
          <w:tcPr>
            <w:tcW w:w="2123" w:type="dxa"/>
            <w:vAlign w:val="center"/>
          </w:tcPr>
          <w:p>
            <w:pPr>
              <w:jc w:val="center"/>
              <w:rPr>
                <w:rFonts w:hint="eastAsia" w:asciiTheme="minorEastAsia" w:hAnsiTheme="minorEastAsia"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14" w:type="dxa"/>
            <w:gridSpan w:val="4"/>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合计总价</w:t>
            </w:r>
          </w:p>
        </w:tc>
        <w:tc>
          <w:tcPr>
            <w:tcW w:w="2123" w:type="dxa"/>
            <w:vAlign w:val="center"/>
          </w:tcPr>
          <w:p>
            <w:pPr>
              <w:jc w:val="center"/>
              <w:rPr>
                <w:rFonts w:hint="eastAsia" w:asciiTheme="minorEastAsia" w:hAnsiTheme="minorEastAsia" w:eastAsiaTheme="minorEastAsia"/>
                <w:sz w:val="24"/>
                <w:szCs w:val="24"/>
                <w:vertAlign w:val="baseline"/>
              </w:rPr>
            </w:pPr>
          </w:p>
        </w:tc>
      </w:tr>
    </w:tbl>
    <w:p>
      <w:pPr>
        <w:rPr>
          <w:rFonts w:hint="eastAsia" w:asciiTheme="minorEastAsia" w:hAnsiTheme="minorEastAsia" w:eastAsiaTheme="minorEastAsia"/>
          <w:sz w:val="30"/>
          <w:szCs w:val="30"/>
        </w:rPr>
      </w:pPr>
    </w:p>
    <w:p>
      <w:pPr>
        <w:spacing w:line="360" w:lineRule="exact"/>
        <w:ind w:firstLine="3357" w:firstLineChars="1045"/>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20" w:beforeLines="50" w:after="120" w:afterLines="50" w:line="300" w:lineRule="exact"/>
        <w:rPr>
          <w:rFonts w:ascii="宋体" w:hAnsi="Arial" w:cs="Arial"/>
          <w:sz w:val="24"/>
        </w:rPr>
      </w:pPr>
    </w:p>
    <w:p>
      <w:pPr>
        <w:spacing w:before="480" w:beforeLines="200" w:after="120"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ascii="Microsoft JhengHei" w:eastAsiaTheme="minorEastAsia"/>
          <w:b/>
          <w:sz w:val="44"/>
          <w:szCs w:val="44"/>
        </w:rPr>
      </w:pPr>
      <w:r>
        <w:rPr>
          <w:rFonts w:hint="eastAsia" w:ascii="宋体" w:hAnsi="Arial" w:cs="Arial"/>
          <w:sz w:val="28"/>
          <w:szCs w:val="28"/>
        </w:rPr>
        <w:t>年   月   日</w:t>
      </w:r>
    </w:p>
    <w:p>
      <w:pPr>
        <w:spacing w:line="522" w:lineRule="exact"/>
        <w:jc w:val="center"/>
        <w:rPr>
          <w:rFonts w:hint="eastAsia" w:ascii="Microsoft JhengHei" w:eastAsiaTheme="minorEastAsia"/>
          <w:b/>
          <w:sz w:val="44"/>
          <w:szCs w:val="44"/>
        </w:rPr>
      </w:pPr>
    </w:p>
    <w:p>
      <w:pPr>
        <w:spacing w:line="522" w:lineRule="exact"/>
        <w:jc w:val="both"/>
        <w:rPr>
          <w:rFonts w:hint="eastAsia" w:ascii="Microsoft JhengHei" w:eastAsiaTheme="minorEastAsia"/>
          <w:b/>
          <w:sz w:val="44"/>
          <w:szCs w:val="44"/>
        </w:rPr>
      </w:pP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8"/>
        <w:tabs>
          <w:tab w:val="left" w:pos="2880"/>
        </w:tabs>
        <w:rPr>
          <w:rFonts w:ascii="Microsoft JhengHei"/>
          <w:b/>
          <w:sz w:val="20"/>
        </w:rPr>
      </w:pPr>
      <w:r>
        <w:rPr>
          <w:rFonts w:ascii="Microsoft JhengHei"/>
          <w:b/>
          <w:sz w:val="20"/>
        </w:rPr>
        <w:tab/>
      </w:r>
    </w:p>
    <w:p>
      <w:pPr>
        <w:pStyle w:val="8"/>
        <w:spacing w:before="17"/>
        <w:rPr>
          <w:rFonts w:ascii="Microsoft JhengHei"/>
          <w:b/>
          <w:sz w:val="18"/>
        </w:rPr>
      </w:pPr>
    </w:p>
    <w:p>
      <w:pPr>
        <w:pStyle w:val="8"/>
        <w:spacing w:before="70" w:line="360" w:lineRule="auto"/>
        <w:ind w:right="-2"/>
        <w:rPr>
          <w:u w:val="single"/>
        </w:rPr>
      </w:pPr>
      <w:r>
        <w:t>投标人名称：</w:t>
      </w:r>
      <w:r>
        <w:rPr>
          <w:rFonts w:hint="eastAsia"/>
          <w:u w:val="single"/>
        </w:rPr>
        <w:t xml:space="preserve">                                   </w:t>
      </w:r>
    </w:p>
    <w:p>
      <w:pPr>
        <w:pStyle w:val="8"/>
        <w:spacing w:before="70" w:line="360" w:lineRule="auto"/>
        <w:ind w:right="-2"/>
        <w:rPr>
          <w:u w:val="single"/>
        </w:rPr>
      </w:pPr>
      <w:r>
        <w:t>注册号：</w:t>
      </w:r>
      <w:r>
        <w:rPr>
          <w:rFonts w:hint="eastAsia"/>
          <w:u w:val="single"/>
        </w:rPr>
        <w:t xml:space="preserve">                                       </w:t>
      </w:r>
    </w:p>
    <w:p>
      <w:pPr>
        <w:pStyle w:val="8"/>
        <w:spacing w:before="3" w:line="360" w:lineRule="auto"/>
        <w:rPr>
          <w:u w:val="single"/>
        </w:rPr>
      </w:pPr>
      <w:r>
        <w:t>注册地址：</w:t>
      </w:r>
      <w:r>
        <w:rPr>
          <w:rFonts w:hint="eastAsia"/>
        </w:rPr>
        <w:t xml:space="preserve"> </w:t>
      </w:r>
      <w:r>
        <w:rPr>
          <w:rFonts w:hint="eastAsia"/>
          <w:u w:val="single"/>
        </w:rPr>
        <w:t xml:space="preserve">                                    </w:t>
      </w:r>
    </w:p>
    <w:p>
      <w:pPr>
        <w:pStyle w:val="8"/>
        <w:spacing w:before="3" w:line="360" w:lineRule="auto"/>
        <w:rPr>
          <w:sz w:val="20"/>
        </w:rPr>
      </w:pPr>
    </w:p>
    <w:p>
      <w:pPr>
        <w:pStyle w:val="8"/>
        <w:spacing w:line="360" w:lineRule="auto"/>
        <w:ind w:left="204" w:right="-2" w:hanging="204" w:hangingChars="100"/>
        <w:rPr>
          <w:spacing w:val="-3"/>
          <w:u w:val="single"/>
        </w:rPr>
      </w:pPr>
      <w:r>
        <w:rPr>
          <w:spacing w:val="-3"/>
        </w:rPr>
        <w:t>成立时间：</w:t>
      </w:r>
      <w:r>
        <w:rPr>
          <w:rFonts w:hint="eastAsia"/>
          <w:spacing w:val="-3"/>
          <w:u w:val="single"/>
        </w:rPr>
        <w:t xml:space="preserve">                                        </w:t>
      </w:r>
    </w:p>
    <w:p>
      <w:pPr>
        <w:pStyle w:val="8"/>
        <w:spacing w:line="360" w:lineRule="auto"/>
        <w:ind w:left="210" w:right="-2" w:hanging="210" w:hangingChars="100"/>
        <w:rPr>
          <w:u w:val="single"/>
        </w:rPr>
      </w:pPr>
      <w:r>
        <w:t>经营期限：</w:t>
      </w:r>
      <w:r>
        <w:rPr>
          <w:rFonts w:hint="eastAsia"/>
          <w:u w:val="single"/>
        </w:rPr>
        <w:t xml:space="preserve">                                     </w:t>
      </w:r>
    </w:p>
    <w:p>
      <w:pPr>
        <w:pStyle w:val="8"/>
        <w:spacing w:before="2" w:line="360" w:lineRule="auto"/>
      </w:pPr>
      <w:r>
        <w:t>经营范围：</w:t>
      </w:r>
      <w:r>
        <w:rPr>
          <w:rFonts w:hint="eastAsia"/>
          <w:u w:val="single"/>
        </w:rPr>
        <w:t xml:space="preserve">                                    </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姓名：性别：年龄：职务：系（投标人名称）的法定代表人。特此证明。</w:t>
      </w:r>
    </w:p>
    <w:tbl>
      <w:tblPr>
        <w:tblStyle w:val="17"/>
        <w:tblpPr w:leftFromText="180" w:rightFromText="180" w:vertAnchor="text" w:horzAnchor="page" w:tblpX="1612" w:tblpY="51"/>
        <w:tblOverlap w:val="never"/>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gridCol w:w="4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0"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377"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hint="eastAsia" w:ascii="宋体" w:hAnsi="Arial" w:cs="Arial"/>
          <w:sz w:val="28"/>
          <w:szCs w:val="28"/>
        </w:rPr>
      </w:pPr>
    </w:p>
    <w:p>
      <w:pPr>
        <w:spacing w:line="600" w:lineRule="exact"/>
        <w:rPr>
          <w:rFonts w:hint="eastAsia" w:ascii="宋体" w:hAnsi="Arial" w:cs="Arial"/>
          <w:sz w:val="28"/>
          <w:szCs w:val="28"/>
        </w:rPr>
      </w:pPr>
    </w:p>
    <w:p>
      <w:pPr>
        <w:spacing w:line="600" w:lineRule="exact"/>
        <w:rPr>
          <w:rFonts w:hint="eastAsia"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w:t>
      </w:r>
      <w:r>
        <w:rPr>
          <w:rFonts w:hint="eastAsia" w:ascii="宋体" w:hAnsi="宋体" w:cs="Arial"/>
          <w:sz w:val="24"/>
          <w:lang w:val="en-US" w:eastAsia="zh-CN"/>
        </w:rPr>
        <w:t>23</w:t>
      </w:r>
      <w:r>
        <w:rPr>
          <w:rFonts w:hint="eastAsia" w:ascii="宋体" w:hAnsi="宋体" w:cs="Arial"/>
          <w:sz w:val="24"/>
        </w:rPr>
        <w:t>年10月</w:t>
      </w:r>
      <w:r>
        <w:rPr>
          <w:rFonts w:hint="eastAsia" w:ascii="宋体" w:hAnsi="宋体" w:cs="Arial"/>
          <w:sz w:val="24"/>
          <w:u w:val="single"/>
        </w:rPr>
        <w:t xml:space="preserve">    </w:t>
      </w:r>
      <w:r>
        <w:rPr>
          <w:rFonts w:hint="eastAsia" w:ascii="宋体" w:hAnsi="宋体" w:cs="Arial"/>
          <w:sz w:val="24"/>
        </w:rPr>
        <w:t>日起至20</w:t>
      </w:r>
      <w:r>
        <w:rPr>
          <w:rFonts w:hint="eastAsia" w:ascii="宋体" w:hAnsi="宋体" w:cs="Arial"/>
          <w:sz w:val="24"/>
          <w:lang w:val="en-US" w:eastAsia="zh-CN"/>
        </w:rPr>
        <w:t>23</w:t>
      </w:r>
      <w:r>
        <w:rPr>
          <w:rFonts w:hint="eastAsia" w:ascii="宋体" w:hAnsi="宋体" w:cs="Arial"/>
          <w:sz w:val="24"/>
        </w:rPr>
        <w:t>年10月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7"/>
        <w:tblW w:w="9082"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4"/>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4"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548"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32"/>
          <w:szCs w:val="32"/>
        </w:rPr>
      </w:pPr>
      <w:r>
        <w:rPr>
          <w:rFonts w:hint="eastAsia" w:hAnsi="宋体"/>
          <w:b/>
          <w:sz w:val="32"/>
          <w:szCs w:val="32"/>
        </w:rPr>
        <w:t>投标人基本情况表</w:t>
      </w:r>
    </w:p>
    <w:tbl>
      <w:tblPr>
        <w:tblStyle w:val="16"/>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32"/>
        </w:rPr>
        <w:t>单位信用证明</w:t>
      </w:r>
    </w:p>
    <w:p>
      <w:pPr>
        <w:pStyle w:val="8"/>
      </w:pPr>
    </w:p>
    <w:p>
      <w:pPr>
        <w:pStyle w:val="8"/>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8"/>
        <w:spacing w:line="400" w:lineRule="exact"/>
      </w:pPr>
      <w:r>
        <w:rPr>
          <w:rFonts w:hint="eastAsia"/>
        </w:rPr>
        <w:t>1承诺书并加盖公章；</w:t>
      </w:r>
    </w:p>
    <w:p>
      <w:pPr>
        <w:pStyle w:val="8"/>
        <w:spacing w:line="400" w:lineRule="exact"/>
      </w:pPr>
      <w:r>
        <w:rPr>
          <w:rFonts w:hint="eastAsia"/>
        </w:rPr>
        <w:t>2.信用中国网站</w:t>
      </w:r>
      <w:r>
        <w:fldChar w:fldCharType="begin"/>
      </w:r>
      <w:r>
        <w:instrText xml:space="preserve"> HYPERLINK "https://www.creditchina.gov.cn/" </w:instrText>
      </w:r>
      <w:r>
        <w:fldChar w:fldCharType="separate"/>
      </w:r>
      <w:r>
        <w:rPr>
          <w:rStyle w:val="20"/>
        </w:rPr>
        <w:t>https://www.creditchina.gov.cn/</w:t>
      </w:r>
      <w:r>
        <w:rPr>
          <w:rStyle w:val="20"/>
        </w:rPr>
        <w:fldChar w:fldCharType="end"/>
      </w:r>
      <w:r>
        <w:rPr>
          <w:rFonts w:hint="eastAsia"/>
        </w:rPr>
        <w:t>内本单位信用信息内的失信被执行人、重大税收违法案件当事人名单的查询截图。示意如下：</w:t>
      </w:r>
    </w:p>
    <w:p>
      <w:pPr>
        <w:pStyle w:val="8"/>
      </w:pPr>
    </w:p>
    <w:p>
      <w:pPr>
        <w:pStyle w:val="8"/>
      </w:pPr>
    </w:p>
    <w:p>
      <w:pPr>
        <w:pStyle w:val="8"/>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lang w:val="en-US" w:eastAsia="zh-CN"/>
        </w:rPr>
        <w:t>四</w:t>
      </w:r>
      <w:r>
        <w:rPr>
          <w:rFonts w:hint="eastAsia" w:ascii="Microsoft JhengHei" w:eastAsiaTheme="minorEastAsia"/>
          <w:b/>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8"/>
        <w:spacing w:before="12"/>
        <w:ind w:left="5250"/>
        <w:rPr>
          <w:sz w:val="14"/>
        </w:rPr>
      </w:pPr>
    </w:p>
    <w:tbl>
      <w:tblPr>
        <w:tblStyle w:val="16"/>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vAlign w:val="top"/>
          </w:tcPr>
          <w:p>
            <w:pPr>
              <w:pStyle w:val="26"/>
              <w:jc w:val="center"/>
              <w:rPr>
                <w:sz w:val="20"/>
              </w:rPr>
            </w:pPr>
          </w:p>
          <w:p>
            <w:pPr>
              <w:pStyle w:val="26"/>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vAlign w:val="top"/>
          </w:tcPr>
          <w:p>
            <w:pPr>
              <w:pStyle w:val="26"/>
              <w:spacing w:before="7"/>
              <w:jc w:val="center"/>
              <w:rPr>
                <w:sz w:val="17"/>
              </w:rPr>
            </w:pPr>
          </w:p>
          <w:p>
            <w:pPr>
              <w:pStyle w:val="26"/>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vAlign w:val="top"/>
          </w:tcPr>
          <w:p>
            <w:pPr>
              <w:pStyle w:val="26"/>
              <w:spacing w:before="11"/>
              <w:jc w:val="center"/>
              <w:rPr>
                <w:sz w:val="17"/>
              </w:rPr>
            </w:pPr>
          </w:p>
          <w:p>
            <w:pPr>
              <w:pStyle w:val="26"/>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vAlign w:val="top"/>
          </w:tcPr>
          <w:p>
            <w:pPr>
              <w:pStyle w:val="26"/>
              <w:spacing w:before="8"/>
              <w:jc w:val="center"/>
              <w:rPr>
                <w:sz w:val="17"/>
              </w:rPr>
            </w:pPr>
          </w:p>
          <w:p>
            <w:pPr>
              <w:pStyle w:val="26"/>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vAlign w:val="top"/>
          </w:tcPr>
          <w:p>
            <w:pPr>
              <w:pStyle w:val="26"/>
              <w:spacing w:before="12"/>
              <w:jc w:val="center"/>
              <w:rPr>
                <w:sz w:val="17"/>
              </w:rPr>
            </w:pPr>
          </w:p>
          <w:p>
            <w:pPr>
              <w:pStyle w:val="26"/>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vAlign w:val="top"/>
          </w:tcPr>
          <w:p>
            <w:pPr>
              <w:pStyle w:val="26"/>
              <w:spacing w:before="9"/>
              <w:jc w:val="center"/>
              <w:rPr>
                <w:sz w:val="17"/>
              </w:rPr>
            </w:pPr>
          </w:p>
          <w:p>
            <w:pPr>
              <w:pStyle w:val="26"/>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vAlign w:val="top"/>
          </w:tcPr>
          <w:p>
            <w:pPr>
              <w:pStyle w:val="26"/>
              <w:spacing w:line="440" w:lineRule="exact"/>
              <w:ind w:left="440" w:right="437" w:firstLine="210"/>
              <w:jc w:val="center"/>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vAlign w:val="top"/>
          </w:tcPr>
          <w:p>
            <w:pPr>
              <w:pStyle w:val="26"/>
              <w:spacing w:before="12"/>
              <w:jc w:val="center"/>
              <w:rPr>
                <w:sz w:val="17"/>
              </w:rPr>
            </w:pPr>
          </w:p>
          <w:p>
            <w:pPr>
              <w:pStyle w:val="26"/>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vAlign w:val="top"/>
          </w:tcPr>
          <w:p>
            <w:pPr>
              <w:pStyle w:val="26"/>
              <w:jc w:val="center"/>
              <w:rPr>
                <w:sz w:val="20"/>
              </w:rPr>
            </w:pPr>
          </w:p>
          <w:p>
            <w:pPr>
              <w:pStyle w:val="26"/>
              <w:jc w:val="center"/>
              <w:rPr>
                <w:sz w:val="20"/>
              </w:rPr>
            </w:pPr>
          </w:p>
          <w:p>
            <w:pPr>
              <w:pStyle w:val="26"/>
              <w:jc w:val="center"/>
              <w:rPr>
                <w:sz w:val="20"/>
              </w:rPr>
            </w:pPr>
          </w:p>
          <w:p>
            <w:pPr>
              <w:pStyle w:val="26"/>
              <w:jc w:val="center"/>
              <w:rPr>
                <w:sz w:val="20"/>
              </w:rPr>
            </w:pPr>
          </w:p>
          <w:p>
            <w:pPr>
              <w:pStyle w:val="26"/>
              <w:spacing w:before="12"/>
              <w:jc w:val="center"/>
              <w:rPr>
                <w:sz w:val="16"/>
              </w:rPr>
            </w:pPr>
          </w:p>
          <w:p>
            <w:pPr>
              <w:pStyle w:val="26"/>
              <w:spacing w:line="393" w:lineRule="auto"/>
              <w:ind w:left="440" w:right="122" w:hanging="315"/>
              <w:jc w:val="center"/>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vAlign w:val="top"/>
          </w:tcPr>
          <w:p>
            <w:pPr>
              <w:pStyle w:val="26"/>
              <w:spacing w:before="6"/>
              <w:jc w:val="center"/>
              <w:rPr>
                <w:sz w:val="17"/>
              </w:rPr>
            </w:pPr>
          </w:p>
          <w:p>
            <w:pPr>
              <w:pStyle w:val="26"/>
              <w:ind w:left="525" w:right="523"/>
              <w:jc w:val="center"/>
              <w:rPr>
                <w:sz w:val="21"/>
              </w:rPr>
            </w:pPr>
            <w:r>
              <w:rPr>
                <w:sz w:val="21"/>
              </w:rPr>
              <w:t>备注</w:t>
            </w:r>
          </w:p>
        </w:tc>
        <w:tc>
          <w:tcPr>
            <w:tcW w:w="6807" w:type="dxa"/>
            <w:tcBorders>
              <w:top w:val="single" w:color="000000" w:sz="6" w:space="0"/>
              <w:left w:val="single" w:color="000000" w:sz="6" w:space="0"/>
            </w:tcBorders>
          </w:tcPr>
          <w:p>
            <w:pPr>
              <w:pStyle w:val="26"/>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8"/>
        <w:spacing w:before="18"/>
        <w:jc w:val="center"/>
        <w:rPr>
          <w:rFonts w:ascii="Microsoft JhengHei"/>
          <w:b/>
          <w:sz w:val="15"/>
        </w:rPr>
      </w:pPr>
      <w:r>
        <w:rPr>
          <w:rFonts w:hint="eastAsia" w:ascii="方正小标宋_GBK" w:eastAsia="方正小标宋_GBK"/>
          <w:sz w:val="36"/>
          <w:szCs w:val="36"/>
          <w:lang w:val="en-US" w:eastAsia="zh-CN"/>
        </w:rPr>
        <w:t>五</w:t>
      </w:r>
      <w:r>
        <w:rPr>
          <w:rFonts w:hint="eastAsia" w:ascii="方正小标宋_GBK" w:eastAsia="方正小标宋_GBK"/>
          <w:sz w:val="36"/>
          <w:szCs w:val="36"/>
        </w:rPr>
        <w:t>、服务承诺书</w:t>
      </w:r>
    </w:p>
    <w:p>
      <w:pPr>
        <w:pStyle w:val="8"/>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4"/>
        <w:spacing w:line="360" w:lineRule="auto"/>
        <w:ind w:left="906" w:firstLine="0"/>
        <w:rPr>
          <w:color w:val="000000"/>
          <w:sz w:val="24"/>
        </w:rPr>
      </w:pPr>
      <w:r>
        <w:rPr>
          <w:rFonts w:hint="eastAsia"/>
          <w:color w:val="000000"/>
          <w:sz w:val="24"/>
        </w:rPr>
        <w:t>一、保证中标后不转包；</w:t>
      </w:r>
    </w:p>
    <w:p>
      <w:pPr>
        <w:pStyle w:val="24"/>
        <w:spacing w:line="360" w:lineRule="auto"/>
        <w:ind w:left="906" w:firstLine="0"/>
        <w:rPr>
          <w:color w:val="000000"/>
          <w:sz w:val="24"/>
        </w:rPr>
      </w:pPr>
      <w:r>
        <w:rPr>
          <w:rFonts w:hint="eastAsia"/>
          <w:color w:val="000000"/>
          <w:sz w:val="24"/>
        </w:rPr>
        <w:t>二、保证中标后，按照招标文件要求提供合格产品，严把质量关；</w:t>
      </w:r>
    </w:p>
    <w:p>
      <w:pPr>
        <w:pStyle w:val="24"/>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4"/>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tabs>
          <w:tab w:val="left" w:pos="6201"/>
        </w:tabs>
        <w:spacing w:before="480" w:beforeLines="200" w:after="120" w:afterLines="50" w:line="260" w:lineRule="exact"/>
        <w:rPr>
          <w:rFonts w:hint="eastAsia" w:ascii="宋体" w:hAnsi="Arial" w:eastAsia="宋体" w:cs="Arial"/>
          <w:sz w:val="24"/>
          <w:lang w:eastAsia="zh-CN"/>
        </w:rPr>
      </w:pPr>
      <w:r>
        <w:rPr>
          <w:rFonts w:hint="eastAsia" w:ascii="宋体" w:hAnsi="Arial" w:cs="Arial"/>
          <w:sz w:val="24"/>
          <w:lang w:eastAsia="zh-CN"/>
        </w:rPr>
        <w:tab/>
      </w:r>
      <w:r>
        <w:rPr>
          <w:rFonts w:hint="eastAsia" w:ascii="宋体" w:hAnsi="Arial" w:cs="Arial"/>
          <w:sz w:val="24"/>
        </w:rPr>
        <w:t xml:space="preserve">  年   月   日</w:t>
      </w:r>
    </w:p>
    <w:p>
      <w:pPr>
        <w:spacing w:before="480" w:beforeLines="200" w:after="120" w:afterLines="50" w:line="260" w:lineRule="exact"/>
        <w:rPr>
          <w:rFonts w:hint="eastAsia" w:ascii="宋体" w:hAnsi="Arial" w:cs="Arial"/>
          <w:sz w:val="24"/>
        </w:rPr>
      </w:pPr>
      <w:r>
        <w:rPr>
          <w:rFonts w:hint="eastAsia" w:ascii="宋体" w:hAnsi="Arial" w:cs="Arial"/>
          <w:sz w:val="24"/>
        </w:rPr>
        <w:t xml:space="preserve">                                  </w:t>
      </w: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ascii="宋体" w:hAnsi="宋体"/>
          <w:b/>
          <w:bCs/>
          <w:sz w:val="44"/>
          <w:szCs w:val="44"/>
        </w:rPr>
      </w:pPr>
      <w:r>
        <w:rPr>
          <w:rFonts w:hint="eastAsia" w:ascii="宋体" w:hAnsi="宋体"/>
          <w:b/>
          <w:bCs/>
          <w:sz w:val="44"/>
          <w:szCs w:val="44"/>
        </w:rPr>
        <w:t>湖南省湘澧盐化有限责任公司</w:t>
      </w:r>
    </w:p>
    <w:p>
      <w:pPr>
        <w:spacing w:line="360" w:lineRule="auto"/>
        <w:jc w:val="center"/>
        <w:rPr>
          <w:rFonts w:hint="default" w:ascii="宋体" w:hAnsi="宋体" w:eastAsia="宋体"/>
          <w:b/>
          <w:bCs/>
          <w:sz w:val="44"/>
          <w:szCs w:val="44"/>
          <w:lang w:val="en-US" w:eastAsia="zh-CN"/>
        </w:rPr>
      </w:pPr>
      <w:r>
        <w:rPr>
          <w:rFonts w:hint="eastAsia" w:ascii="宋体" w:hAnsi="宋体"/>
          <w:b/>
          <w:bCs/>
          <w:sz w:val="36"/>
          <w:szCs w:val="36"/>
          <w:lang w:val="en-US" w:eastAsia="zh-CN"/>
        </w:rPr>
        <w:t>生态盐分级分筛车间建设项目给袋式包装机采购</w:t>
      </w: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ind w:firstLine="2891" w:firstLineChars="400"/>
        <w:jc w:val="both"/>
        <w:rPr>
          <w:rFonts w:hint="eastAsia" w:ascii="宋体" w:hAnsi="宋体" w:eastAsia="宋体"/>
          <w:sz w:val="72"/>
          <w:szCs w:val="72"/>
          <w:lang w:val="en-US" w:eastAsia="zh-CN"/>
        </w:rPr>
      </w:pPr>
      <w:r>
        <w:rPr>
          <w:rFonts w:hint="eastAsia" w:ascii="宋体" w:hAnsi="宋体"/>
          <w:b/>
          <w:bCs/>
          <w:sz w:val="72"/>
          <w:szCs w:val="72"/>
          <w:lang w:val="en-US" w:eastAsia="zh-CN"/>
        </w:rPr>
        <w:t>技术规范书</w:t>
      </w: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ind w:firstLine="1405" w:firstLineChars="500"/>
        <w:rPr>
          <w:rFonts w:hint="eastAsia"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sectPr>
          <w:pgSz w:w="11906" w:h="16838"/>
          <w:pgMar w:top="1418" w:right="1418" w:bottom="1418" w:left="1418" w:header="851" w:footer="992" w:gutter="0"/>
          <w:pgNumType w:start="1"/>
          <w:cols w:space="720" w:num="1"/>
          <w:docGrid w:type="lines" w:linePitch="312" w:charSpace="0"/>
        </w:sectPr>
      </w:pPr>
      <w:r>
        <w:rPr>
          <w:rFonts w:ascii="宋体" w:hAnsi="宋体"/>
          <w:b/>
          <w:sz w:val="28"/>
          <w:szCs w:val="28"/>
        </w:rPr>
        <w:t>2023</w:t>
      </w:r>
      <w:r>
        <w:rPr>
          <w:rFonts w:hint="eastAsia" w:ascii="宋体" w:hAnsi="宋体"/>
          <w:b/>
          <w:sz w:val="28"/>
          <w:szCs w:val="28"/>
        </w:rPr>
        <w:t xml:space="preserve"> </w:t>
      </w:r>
      <w:r>
        <w:rPr>
          <w:rFonts w:ascii="宋体" w:hAnsi="宋体"/>
          <w:b/>
          <w:sz w:val="28"/>
          <w:szCs w:val="28"/>
        </w:rPr>
        <w:t>年</w:t>
      </w:r>
      <w:r>
        <w:rPr>
          <w:rFonts w:hint="eastAsia" w:ascii="宋体" w:hAnsi="宋体"/>
          <w:b/>
          <w:sz w:val="28"/>
          <w:szCs w:val="28"/>
        </w:rPr>
        <w:t xml:space="preserve"> </w:t>
      </w:r>
      <w:r>
        <w:rPr>
          <w:rFonts w:hint="eastAsia" w:ascii="宋体" w:hAnsi="宋体"/>
          <w:b/>
          <w:sz w:val="28"/>
          <w:szCs w:val="28"/>
          <w:lang w:val="en-US" w:eastAsia="zh-CN"/>
        </w:rPr>
        <w:t>10</w:t>
      </w:r>
      <w:r>
        <w:rPr>
          <w:rFonts w:ascii="宋体" w:hAnsi="宋体"/>
          <w:b/>
          <w:sz w:val="28"/>
          <w:szCs w:val="28"/>
        </w:rPr>
        <w:t>月</w:t>
      </w:r>
      <w:r>
        <w:rPr>
          <w:rFonts w:hint="eastAsia" w:ascii="宋体" w:hAnsi="宋体"/>
          <w:b/>
          <w:sz w:val="28"/>
          <w:szCs w:val="28"/>
          <w:lang w:val="en-US" w:eastAsia="zh-CN"/>
        </w:rPr>
        <w:t>8</w:t>
      </w:r>
      <w:r>
        <w:rPr>
          <w:rFonts w:hint="eastAsia" w:ascii="宋体" w:hAnsi="宋体"/>
          <w:b/>
          <w:sz w:val="28"/>
          <w:szCs w:val="28"/>
        </w:rPr>
        <w:t>日</w:t>
      </w:r>
    </w:p>
    <w:p>
      <w:pPr>
        <w:spacing w:line="360" w:lineRule="auto"/>
        <w:jc w:val="center"/>
        <w:rPr>
          <w:rFonts w:hint="eastAsia" w:ascii="黑体" w:hAnsi="宋体"/>
          <w:b/>
          <w:sz w:val="44"/>
          <w:szCs w:val="44"/>
        </w:rPr>
      </w:pPr>
      <w:r>
        <w:rPr>
          <w:rFonts w:hint="eastAsia" w:ascii="黑体" w:hAnsi="宋体"/>
          <w:b/>
          <w:sz w:val="44"/>
          <w:szCs w:val="44"/>
        </w:rPr>
        <w:t>目  录</w:t>
      </w:r>
    </w:p>
    <w:p>
      <w:pPr>
        <w:pStyle w:val="14"/>
        <w:rPr>
          <w:kern w:val="2"/>
          <w:sz w:val="21"/>
        </w:rPr>
      </w:pPr>
      <w:r>
        <w:rPr>
          <w:b/>
        </w:rPr>
        <w:fldChar w:fldCharType="begin"/>
      </w:r>
      <w:r>
        <w:rPr>
          <w:b/>
        </w:rPr>
        <w:instrText xml:space="preserve"> TOC \o "1-1" \h \z \u </w:instrText>
      </w:r>
      <w:r>
        <w:rPr>
          <w:b/>
        </w:rPr>
        <w:fldChar w:fldCharType="separate"/>
      </w:r>
      <w:r>
        <w:rPr>
          <w:rStyle w:val="20"/>
        </w:rPr>
        <w:fldChar w:fldCharType="begin"/>
      </w:r>
      <w:r>
        <w:rPr>
          <w:rStyle w:val="20"/>
        </w:rPr>
        <w:instrText xml:space="preserve"> </w:instrText>
      </w:r>
      <w:r>
        <w:instrText xml:space="preserve">HYPERLINK \l "_Toc464230162"</w:instrText>
      </w:r>
      <w:r>
        <w:rPr>
          <w:rStyle w:val="20"/>
        </w:rPr>
        <w:instrText xml:space="preserve"> </w:instrText>
      </w:r>
      <w:r>
        <w:rPr>
          <w:rStyle w:val="20"/>
        </w:rPr>
        <w:fldChar w:fldCharType="separate"/>
      </w:r>
      <w:r>
        <w:rPr>
          <w:rStyle w:val="20"/>
          <w:rFonts w:ascii="黑体" w:hAnsi="宋体" w:cs="Arial"/>
        </w:rPr>
        <w:t>1.</w:t>
      </w:r>
      <w:r>
        <w:rPr>
          <w:kern w:val="2"/>
          <w:sz w:val="21"/>
        </w:rPr>
        <w:tab/>
      </w:r>
      <w:r>
        <w:rPr>
          <w:rStyle w:val="20"/>
          <w:rFonts w:hint="eastAsia" w:ascii="黑体" w:hAnsi="宋体" w:cs="Arial"/>
        </w:rPr>
        <w:t>总则</w:t>
      </w:r>
      <w:r>
        <w:tab/>
      </w:r>
      <w:r>
        <w:fldChar w:fldCharType="begin"/>
      </w:r>
      <w:r>
        <w:instrText xml:space="preserve"> PAGEREF _Toc464230162 \h </w:instrText>
      </w:r>
      <w:r>
        <w:fldChar w:fldCharType="separate"/>
      </w:r>
      <w:r>
        <w:t>1</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"_Toc464230163"</w:instrText>
      </w:r>
      <w:r>
        <w:rPr>
          <w:rStyle w:val="20"/>
        </w:rPr>
        <w:instrText xml:space="preserve"> </w:instrText>
      </w:r>
      <w:r>
        <w:rPr>
          <w:rStyle w:val="20"/>
        </w:rPr>
        <w:fldChar w:fldCharType="separate"/>
      </w:r>
      <w:r>
        <w:rPr>
          <w:rStyle w:val="20"/>
          <w:rFonts w:ascii="黑体" w:hAnsi="宋体" w:cs="Arial"/>
        </w:rPr>
        <w:t>2.</w:t>
      </w:r>
      <w:r>
        <w:rPr>
          <w:kern w:val="2"/>
          <w:sz w:val="21"/>
        </w:rPr>
        <w:tab/>
      </w:r>
      <w:r>
        <w:rPr>
          <w:rStyle w:val="20"/>
          <w:rFonts w:hint="eastAsia" w:ascii="黑体" w:hAnsi="宋体" w:cs="Arial"/>
        </w:rPr>
        <w:t>应用及设计参数</w:t>
      </w:r>
      <w:r>
        <w:tab/>
      </w:r>
      <w:r>
        <w:rPr>
          <w:rFonts w:hint="eastAsia"/>
          <w:lang w:val="en-US" w:eastAsia="zh-CN"/>
        </w:rPr>
        <w:t>2</w:t>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"_Toc464230164"</w:instrText>
      </w:r>
      <w:r>
        <w:rPr>
          <w:rStyle w:val="20"/>
        </w:rPr>
        <w:instrText xml:space="preserve"> </w:instrText>
      </w:r>
      <w:r>
        <w:rPr>
          <w:rStyle w:val="20"/>
        </w:rPr>
        <w:fldChar w:fldCharType="separate"/>
      </w:r>
      <w:r>
        <w:rPr>
          <w:rStyle w:val="20"/>
          <w:rFonts w:ascii="黑体" w:hAnsi="宋体" w:cs="Arial"/>
        </w:rPr>
        <w:t>3.</w:t>
      </w:r>
      <w:r>
        <w:rPr>
          <w:kern w:val="2"/>
          <w:sz w:val="21"/>
        </w:rPr>
        <w:tab/>
      </w:r>
      <w:r>
        <w:rPr>
          <w:rStyle w:val="20"/>
          <w:rFonts w:hint="eastAsia" w:ascii="黑体" w:hAnsi="宋体" w:cs="Arial"/>
        </w:rPr>
        <w:t>主要</w:t>
      </w:r>
      <w:r>
        <w:rPr>
          <w:rStyle w:val="20"/>
          <w:rFonts w:hint="eastAsia" w:ascii="黑体" w:hAnsi="宋体" w:cs="Arial"/>
          <w:lang w:val="en-US" w:eastAsia="zh-CN"/>
        </w:rPr>
        <w:t>结构性能</w:t>
      </w:r>
      <w:r>
        <w:tab/>
      </w:r>
      <w:r>
        <w:fldChar w:fldCharType="begin"/>
      </w:r>
      <w:r>
        <w:instrText xml:space="preserve"> PAGEREF _Toc464230164 \h </w:instrText>
      </w:r>
      <w:r>
        <w:fldChar w:fldCharType="separate"/>
      </w:r>
      <w:r>
        <w:t>3</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"_Toc464230166"</w:instrText>
      </w:r>
      <w:r>
        <w:rPr>
          <w:rStyle w:val="20"/>
        </w:rPr>
        <w:instrText xml:space="preserve"> </w:instrText>
      </w:r>
      <w:r>
        <w:rPr>
          <w:rStyle w:val="20"/>
        </w:rPr>
        <w:fldChar w:fldCharType="separate"/>
      </w:r>
      <w:r>
        <w:rPr>
          <w:rStyle w:val="20"/>
          <w:rFonts w:hint="eastAsia" w:ascii="黑体" w:hAnsi="宋体" w:cs="Arial"/>
          <w:lang w:val="en-US" w:eastAsia="zh-CN"/>
        </w:rPr>
        <w:t>4</w:t>
      </w:r>
      <w:r>
        <w:rPr>
          <w:rStyle w:val="20"/>
          <w:rFonts w:ascii="黑体" w:hAnsi="宋体" w:cs="Arial"/>
        </w:rPr>
        <w:t>.</w:t>
      </w:r>
      <w:r>
        <w:rPr>
          <w:kern w:val="2"/>
          <w:sz w:val="21"/>
        </w:rPr>
        <w:tab/>
      </w:r>
      <w:r>
        <w:rPr>
          <w:rStyle w:val="20"/>
          <w:rFonts w:hint="eastAsia" w:ascii="黑体" w:hAnsi="宋体" w:cs="Arial"/>
        </w:rPr>
        <w:t>技术服务、培训和售后服务</w:t>
      </w:r>
      <w:r>
        <w:tab/>
      </w:r>
      <w:r>
        <w:rPr>
          <w:rFonts w:hint="eastAsia"/>
          <w:lang w:val="en-US" w:eastAsia="zh-CN"/>
        </w:rPr>
        <w:t>4</w:t>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"_Toc464230168"</w:instrText>
      </w:r>
      <w:r>
        <w:rPr>
          <w:rStyle w:val="20"/>
        </w:rPr>
        <w:instrText xml:space="preserve"> </w:instrText>
      </w:r>
      <w:r>
        <w:rPr>
          <w:rStyle w:val="20"/>
        </w:rPr>
        <w:fldChar w:fldCharType="separate"/>
      </w:r>
      <w:r>
        <w:rPr>
          <w:rStyle w:val="20"/>
          <w:rFonts w:hint="eastAsia" w:ascii="黑体" w:hAnsi="宋体" w:cs="Arial"/>
          <w:lang w:val="en-US" w:eastAsia="zh-CN"/>
        </w:rPr>
        <w:t>5</w:t>
      </w:r>
      <w:r>
        <w:rPr>
          <w:rStyle w:val="20"/>
          <w:rFonts w:ascii="黑体" w:hAnsi="宋体" w:cs="Arial"/>
        </w:rPr>
        <w:t>.</w:t>
      </w:r>
      <w:r>
        <w:rPr>
          <w:kern w:val="2"/>
          <w:sz w:val="21"/>
        </w:rPr>
        <w:tab/>
      </w:r>
      <w:r>
        <w:rPr>
          <w:rStyle w:val="20"/>
          <w:rFonts w:hint="eastAsia" w:ascii="黑体" w:hAnsi="宋体" w:cs="Arial"/>
        </w:rPr>
        <w:t>质量保证</w:t>
      </w:r>
      <w:r>
        <w:tab/>
      </w:r>
      <w:r>
        <w:rPr>
          <w:rFonts w:hint="eastAsia"/>
          <w:lang w:val="en-US" w:eastAsia="zh-CN"/>
        </w:rPr>
        <w:t>5</w:t>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"_Toc464230169"</w:instrText>
      </w:r>
      <w:r>
        <w:rPr>
          <w:rStyle w:val="20"/>
        </w:rPr>
        <w:instrText xml:space="preserve"> </w:instrText>
      </w:r>
      <w:r>
        <w:rPr>
          <w:rStyle w:val="20"/>
        </w:rPr>
        <w:fldChar w:fldCharType="separate"/>
      </w:r>
      <w:r>
        <w:rPr>
          <w:rStyle w:val="20"/>
          <w:rFonts w:hint="eastAsia" w:ascii="黑体" w:hAnsi="宋体" w:cs="Arial"/>
          <w:lang w:val="en-US" w:eastAsia="zh-CN"/>
        </w:rPr>
        <w:t>6</w:t>
      </w:r>
      <w:r>
        <w:rPr>
          <w:rStyle w:val="20"/>
          <w:rFonts w:ascii="黑体" w:hAnsi="宋体" w:cs="Arial"/>
        </w:rPr>
        <w:t>.</w:t>
      </w:r>
      <w:r>
        <w:rPr>
          <w:kern w:val="2"/>
          <w:sz w:val="21"/>
        </w:rPr>
        <w:tab/>
      </w:r>
      <w:r>
        <w:rPr>
          <w:rStyle w:val="20"/>
          <w:rFonts w:hint="eastAsia" w:ascii="黑体" w:hAnsi="宋体" w:cs="Arial"/>
        </w:rPr>
        <w:t>供货周期设备外观、包装、运输及储存</w:t>
      </w:r>
      <w:r>
        <w:tab/>
      </w:r>
      <w:r>
        <w:rPr>
          <w:rFonts w:hint="eastAsia"/>
          <w:lang w:val="en-US" w:eastAsia="zh-CN"/>
        </w:rPr>
        <w:t>6</w:t>
      </w:r>
      <w:r>
        <w:rPr>
          <w:rStyle w:val="20"/>
        </w:rPr>
        <w:fldChar w:fldCharType="end"/>
      </w:r>
    </w:p>
    <w:p>
      <w:pPr>
        <w:spacing w:line="360" w:lineRule="auto"/>
        <w:ind w:right="420"/>
        <w:rPr>
          <w:rFonts w:hint="eastAsia" w:ascii="黑体" w:hAnsi="宋体"/>
          <w:b/>
          <w:sz w:val="24"/>
        </w:rPr>
      </w:pPr>
      <w:r>
        <w:rPr>
          <w:rFonts w:ascii="Calibri" w:hAnsi="Calibri"/>
          <w:b/>
          <w:kern w:val="0"/>
          <w:sz w:val="22"/>
          <w:szCs w:val="22"/>
        </w:rPr>
        <w:fldChar w:fldCharType="end"/>
      </w:r>
    </w:p>
    <w:p>
      <w:pPr>
        <w:spacing w:line="360" w:lineRule="auto"/>
        <w:ind w:left="-38" w:leftChars="-64" w:right="420" w:hanging="96" w:hangingChars="40"/>
        <w:jc w:val="center"/>
        <w:rPr>
          <w:rFonts w:hint="eastAsia" w:ascii="黑体" w:hAnsi="宋体"/>
          <w:b/>
          <w:sz w:val="24"/>
        </w:rPr>
      </w:pPr>
    </w:p>
    <w:p>
      <w:pPr>
        <w:spacing w:line="360" w:lineRule="auto"/>
        <w:ind w:left="-38" w:leftChars="-64" w:right="420" w:hanging="96" w:hangingChars="40"/>
        <w:jc w:val="center"/>
        <w:rPr>
          <w:rFonts w:ascii="黑体" w:hAnsi="宋体"/>
          <w:b/>
          <w:sz w:val="24"/>
        </w:rPr>
        <w:sectPr>
          <w:footerReference r:id="rId5" w:type="default"/>
          <w:pgSz w:w="11906" w:h="16838"/>
          <w:pgMar w:top="1418" w:right="1418" w:bottom="1418" w:left="1418" w:header="851" w:footer="992" w:gutter="0"/>
          <w:pgNumType w:start="1"/>
          <w:cols w:space="720" w:num="1"/>
          <w:docGrid w:type="lines" w:linePitch="312" w:charSpace="0"/>
        </w:sectPr>
      </w:pPr>
    </w:p>
    <w:p>
      <w:pPr>
        <w:pStyle w:val="35"/>
        <w:spacing w:after="120" w:line="360" w:lineRule="auto"/>
        <w:jc w:val="left"/>
        <w:rPr>
          <w:b/>
          <w:bCs/>
          <w:sz w:val="28"/>
          <w:szCs w:val="28"/>
        </w:rPr>
      </w:pPr>
      <w:bookmarkStart w:id="1" w:name="_Toc287280860"/>
      <w:bookmarkStart w:id="2" w:name="_Toc178652587"/>
      <w:bookmarkStart w:id="3" w:name="_Toc464230163"/>
      <w:bookmarkStart w:id="4" w:name="_Toc39635709"/>
      <w:r>
        <w:rPr>
          <w:rStyle w:val="36"/>
          <w:b/>
          <w:bCs/>
          <w:sz w:val="28"/>
          <w:szCs w:val="28"/>
        </w:rPr>
        <w:t>1、总则</w:t>
      </w:r>
    </w:p>
    <w:p>
      <w:pPr>
        <w:pStyle w:val="35"/>
        <w:spacing w:line="360" w:lineRule="auto"/>
        <w:jc w:val="left"/>
        <w:rPr>
          <w:sz w:val="24"/>
          <w:szCs w:val="24"/>
        </w:rPr>
      </w:pPr>
      <w:r>
        <w:rPr>
          <w:rStyle w:val="36"/>
          <w:b/>
          <w:bCs/>
          <w:sz w:val="24"/>
          <w:szCs w:val="24"/>
          <w:lang w:val="en-US" w:bidi="en-US"/>
        </w:rPr>
        <w:t>1.1</w:t>
      </w:r>
      <w:r>
        <w:rPr>
          <w:rStyle w:val="36"/>
          <w:sz w:val="24"/>
          <w:szCs w:val="24"/>
        </w:rPr>
        <w:t>本技术规范书适用于湖南省湘</w:t>
      </w:r>
      <w:r>
        <w:rPr>
          <w:rStyle w:val="36"/>
          <w:rFonts w:hint="eastAsia"/>
          <w:sz w:val="24"/>
          <w:szCs w:val="24"/>
          <w:lang w:val="en-US"/>
        </w:rPr>
        <w:t>澧</w:t>
      </w:r>
      <w:r>
        <w:rPr>
          <w:rStyle w:val="36"/>
          <w:sz w:val="24"/>
          <w:szCs w:val="24"/>
        </w:rPr>
        <w:t>盐化有限责任公司</w:t>
      </w:r>
      <w:r>
        <w:rPr>
          <w:rFonts w:hint="eastAsia"/>
          <w:sz w:val="24"/>
          <w:szCs w:val="24"/>
          <w:lang w:val="en-US"/>
        </w:rPr>
        <w:t>生态盐分级分筛车间建设</w:t>
      </w:r>
      <w:r>
        <w:rPr>
          <w:rStyle w:val="36"/>
          <w:sz w:val="24"/>
          <w:szCs w:val="24"/>
        </w:rPr>
        <w:t>项目， 它提出了该系统的功能设计、结构、性能、安装和试验等方面的技术要求。</w:t>
      </w:r>
    </w:p>
    <w:p>
      <w:pPr>
        <w:pStyle w:val="35"/>
        <w:spacing w:line="360" w:lineRule="auto"/>
        <w:jc w:val="left"/>
        <w:rPr>
          <w:sz w:val="24"/>
          <w:szCs w:val="24"/>
        </w:rPr>
      </w:pPr>
      <w:r>
        <w:rPr>
          <w:rStyle w:val="36"/>
          <w:b/>
          <w:bCs/>
          <w:sz w:val="24"/>
          <w:szCs w:val="24"/>
          <w:lang w:val="en-US" w:bidi="en-US"/>
        </w:rPr>
        <w:t>1.2</w:t>
      </w:r>
      <w:r>
        <w:rPr>
          <w:rStyle w:val="36"/>
          <w:sz w:val="24"/>
          <w:szCs w:val="24"/>
        </w:rPr>
        <w:t>技术规范书所提及的要求和供货范围都是最低限度的要求，并未对一切技术细节作出规定，也未充分地详述有关标准和规范的条文，但投标方应保证提供符合本技术规范书和工业标准的功能齐全的优质产品及其相应服务。对国家有关安全、环保等强制性标准，必须满足</w:t>
      </w:r>
      <w:r>
        <w:rPr>
          <w:rStyle w:val="36"/>
          <w:rFonts w:hint="eastAsia"/>
          <w:sz w:val="24"/>
          <w:szCs w:val="24"/>
        </w:rPr>
        <w:t>。</w:t>
      </w:r>
      <w:r>
        <w:rPr>
          <w:rStyle w:val="36"/>
          <w:sz w:val="24"/>
          <w:szCs w:val="24"/>
        </w:rPr>
        <w:t>对于一个完整的可操作系统的某些必备要求，但未列入本规范书者也属于本规范的范围。</w:t>
      </w:r>
    </w:p>
    <w:p>
      <w:pPr>
        <w:pStyle w:val="35"/>
        <w:spacing w:line="360" w:lineRule="auto"/>
        <w:rPr>
          <w:sz w:val="24"/>
          <w:szCs w:val="24"/>
        </w:rPr>
      </w:pPr>
      <w:r>
        <w:rPr>
          <w:rStyle w:val="36"/>
          <w:b/>
          <w:bCs/>
          <w:sz w:val="24"/>
          <w:szCs w:val="24"/>
          <w:lang w:val="en-US" w:bidi="en-US"/>
        </w:rPr>
        <w:t>1.3</w:t>
      </w:r>
      <w:r>
        <w:rPr>
          <w:rStyle w:val="36"/>
          <w:sz w:val="24"/>
          <w:szCs w:val="24"/>
        </w:rPr>
        <w:t>如卖方没有以书面形式对本招标书的所有条文提出异议，那么买方可以认为卖方提供的产品已完全满足本招标书的要求。如有异议卖方应在投标书中以“对招标书的意见和对招标书的差异</w:t>
      </w:r>
      <w:r>
        <w:rPr>
          <w:rStyle w:val="36"/>
          <w:rFonts w:hint="eastAsia"/>
          <w:sz w:val="24"/>
          <w:szCs w:val="24"/>
        </w:rPr>
        <w:t>”</w:t>
      </w:r>
      <w:r>
        <w:rPr>
          <w:rStyle w:val="36"/>
          <w:sz w:val="24"/>
          <w:szCs w:val="24"/>
        </w:rPr>
        <w:t>标题的专门章节中加以详细叙述。投标书要求采用中文书写，计量单位采用国际单位制。买方拥有对本招标书的解释权，卖方如对本招标书内容有疑议的条款均有责任向买方询问，由于理解的偏差所引起的责任由卖方自行承担。卖方需说明保证产品质量的手段和措施。</w:t>
      </w:r>
    </w:p>
    <w:p>
      <w:pPr>
        <w:pStyle w:val="35"/>
        <w:tabs>
          <w:tab w:val="left" w:pos="505"/>
        </w:tabs>
        <w:spacing w:line="360" w:lineRule="auto"/>
        <w:rPr>
          <w:sz w:val="24"/>
          <w:szCs w:val="24"/>
        </w:rPr>
      </w:pPr>
      <w:r>
        <w:rPr>
          <w:rStyle w:val="36"/>
          <w:rFonts w:hint="eastAsia"/>
          <w:b/>
          <w:bCs/>
          <w:sz w:val="24"/>
          <w:szCs w:val="24"/>
          <w:lang w:val="en-US"/>
        </w:rPr>
        <w:t>1.4</w:t>
      </w:r>
      <w:r>
        <w:rPr>
          <w:rStyle w:val="36"/>
          <w:sz w:val="24"/>
          <w:szCs w:val="24"/>
        </w:rPr>
        <w:t>卖方如对本技术规范书有偏差（无论多少或微小）都必须清楚地以书面方式提交买方，否则买方将认为卖方完全接受和同意本技术规范书的要求：</w:t>
      </w:r>
    </w:p>
    <w:p>
      <w:pPr>
        <w:pStyle w:val="35"/>
        <w:tabs>
          <w:tab w:val="left" w:pos="495"/>
        </w:tabs>
        <w:spacing w:line="360" w:lineRule="auto"/>
        <w:rPr>
          <w:sz w:val="24"/>
          <w:szCs w:val="24"/>
        </w:rPr>
      </w:pPr>
      <w:r>
        <w:rPr>
          <w:rStyle w:val="36"/>
          <w:rFonts w:hint="eastAsia"/>
          <w:b/>
          <w:bCs/>
          <w:sz w:val="24"/>
          <w:szCs w:val="24"/>
          <w:lang w:val="en-US"/>
        </w:rPr>
        <w:t>1.5</w:t>
      </w:r>
      <w:r>
        <w:rPr>
          <w:rStyle w:val="36"/>
          <w:sz w:val="24"/>
          <w:szCs w:val="24"/>
        </w:rPr>
        <w:t>卖方须执行本技术规范书所列标准。有矛盾时，按较高标准执行。卖方在设备设计和制造中所涉及的各项规程、规范和标准必须遵循现行最新版本。</w:t>
      </w:r>
    </w:p>
    <w:p>
      <w:pPr>
        <w:pStyle w:val="35"/>
        <w:tabs>
          <w:tab w:val="left" w:pos="514"/>
        </w:tabs>
        <w:spacing w:line="360" w:lineRule="auto"/>
        <w:rPr>
          <w:sz w:val="24"/>
          <w:szCs w:val="24"/>
        </w:rPr>
      </w:pPr>
      <w:r>
        <w:rPr>
          <w:rStyle w:val="36"/>
          <w:rFonts w:hint="eastAsia"/>
          <w:b/>
          <w:bCs/>
          <w:sz w:val="24"/>
          <w:szCs w:val="24"/>
          <w:lang w:val="en-US"/>
        </w:rPr>
        <w:t>1.6</w:t>
      </w:r>
      <w:r>
        <w:rPr>
          <w:rStyle w:val="36"/>
          <w:sz w:val="24"/>
          <w:szCs w:val="24"/>
        </w:rPr>
        <w:t>设备采用的专利涉及到的全部费用均被认为已包含在设备报价中，卖方应保证买方不承担有关设备专利的一切责任。</w:t>
      </w:r>
    </w:p>
    <w:p>
      <w:pPr>
        <w:pStyle w:val="35"/>
        <w:spacing w:line="360" w:lineRule="auto"/>
        <w:rPr>
          <w:sz w:val="24"/>
          <w:szCs w:val="24"/>
        </w:rPr>
      </w:pPr>
      <w:r>
        <w:rPr>
          <w:rStyle w:val="36"/>
          <w:rFonts w:hint="eastAsia"/>
          <w:b/>
          <w:bCs/>
          <w:sz w:val="24"/>
          <w:szCs w:val="24"/>
          <w:lang w:val="en-US" w:bidi="en-US"/>
        </w:rPr>
        <w:t>1.7</w:t>
      </w:r>
      <w:r>
        <w:rPr>
          <w:rStyle w:val="36"/>
          <w:sz w:val="24"/>
          <w:szCs w:val="24"/>
        </w:rPr>
        <w:t>卖方应提供高质量的设备。这些设备应是成熟可靠、技术先进的产品，且制造厂必须具备当今国内先进、成熟、可靠的生产技术，拥有制造、调试、维护等方面的专门技术人才和精良的加工设备，有能力为项目建立有效的管理体制，具有良好的业绩,并提供优质的售后服务。已有相同设备制造、运行两年以上的成功经验，且实践证明产品是成熟可靠的。卖方对设备的加工能力、质量、使用性能、供货的完整性、先进性、可靠性负责，负责设备的安装和调试。</w:t>
      </w:r>
    </w:p>
    <w:p>
      <w:pPr>
        <w:pStyle w:val="35"/>
        <w:tabs>
          <w:tab w:val="left" w:pos="500"/>
        </w:tabs>
        <w:spacing w:line="360" w:lineRule="auto"/>
        <w:rPr>
          <w:sz w:val="24"/>
          <w:szCs w:val="24"/>
        </w:rPr>
      </w:pPr>
      <w:r>
        <w:rPr>
          <w:rStyle w:val="36"/>
          <w:rFonts w:hint="eastAsia"/>
          <w:b/>
          <w:bCs/>
          <w:sz w:val="24"/>
          <w:szCs w:val="24"/>
          <w:lang w:val="en-US"/>
        </w:rPr>
        <w:t>1.8</w:t>
      </w:r>
      <w:r>
        <w:rPr>
          <w:rStyle w:val="36"/>
          <w:sz w:val="24"/>
          <w:szCs w:val="24"/>
        </w:rPr>
        <w:t>本技术规范书所定规范为最低要求，如投标方有更优良、经济的方案，可以超出本技术规范书所规定的条款。</w:t>
      </w:r>
    </w:p>
    <w:p>
      <w:pPr>
        <w:pStyle w:val="35"/>
        <w:tabs>
          <w:tab w:val="left" w:pos="514"/>
        </w:tabs>
        <w:spacing w:line="360" w:lineRule="auto"/>
        <w:rPr>
          <w:sz w:val="24"/>
          <w:szCs w:val="24"/>
        </w:rPr>
      </w:pPr>
      <w:r>
        <w:rPr>
          <w:rStyle w:val="36"/>
          <w:rFonts w:hint="eastAsia"/>
          <w:b/>
          <w:bCs/>
          <w:sz w:val="24"/>
          <w:szCs w:val="24"/>
          <w:lang w:val="en-US"/>
        </w:rPr>
        <w:t>1.9</w:t>
      </w:r>
      <w:r>
        <w:rPr>
          <w:rStyle w:val="36"/>
          <w:sz w:val="24"/>
          <w:szCs w:val="24"/>
        </w:rPr>
        <w:t>在签订合同之后，卖方有权提出因规范、标准和规程发生变化而产生的一些补充要求，具体项目由双方共同商定。</w:t>
      </w:r>
    </w:p>
    <w:p>
      <w:pPr>
        <w:pStyle w:val="35"/>
        <w:tabs>
          <w:tab w:val="left" w:pos="620"/>
        </w:tabs>
        <w:spacing w:after="120" w:line="360" w:lineRule="auto"/>
        <w:rPr>
          <w:rStyle w:val="36"/>
          <w:sz w:val="24"/>
          <w:szCs w:val="24"/>
        </w:rPr>
      </w:pPr>
      <w:r>
        <w:rPr>
          <w:rStyle w:val="36"/>
          <w:rFonts w:hint="eastAsia"/>
          <w:b/>
          <w:bCs/>
          <w:sz w:val="24"/>
          <w:szCs w:val="24"/>
          <w:lang w:val="en-US"/>
        </w:rPr>
        <w:t>1.10</w:t>
      </w:r>
      <w:r>
        <w:rPr>
          <w:rStyle w:val="36"/>
          <w:sz w:val="24"/>
          <w:szCs w:val="24"/>
        </w:rPr>
        <w:t>本技术规范书将为订货合同的附件，与合同正文具有同等效力</w:t>
      </w:r>
    </w:p>
    <w:p>
      <w:pPr>
        <w:pStyle w:val="3"/>
        <w:keepLines w:val="0"/>
        <w:widowControl/>
        <w:tabs>
          <w:tab w:val="left" w:pos="420"/>
        </w:tabs>
        <w:spacing w:before="0" w:line="360" w:lineRule="auto"/>
        <w:ind w:left="0" w:leftChars="0" w:firstLine="0" w:firstLineChars="0"/>
        <w:jc w:val="both"/>
        <w:rPr>
          <w:rFonts w:hint="eastAsia" w:ascii="黑体" w:hAnsi="宋体" w:cs="Arial"/>
          <w:b w:val="0"/>
          <w:sz w:val="28"/>
          <w:szCs w:val="28"/>
        </w:rPr>
      </w:pPr>
      <w:r>
        <w:rPr>
          <w:rFonts w:hint="eastAsia" w:ascii="黑体" w:hAnsi="宋体" w:cs="Arial"/>
          <w:b w:val="0"/>
          <w:sz w:val="28"/>
          <w:szCs w:val="28"/>
        </w:rPr>
        <w:t>2.</w:t>
      </w:r>
      <w:r>
        <w:rPr>
          <w:rFonts w:ascii="黑体" w:hAnsi="宋体" w:cs="Arial"/>
          <w:b w:val="0"/>
          <w:sz w:val="28"/>
          <w:szCs w:val="28"/>
        </w:rPr>
        <w:t>应用及设计参数</w:t>
      </w:r>
      <w:bookmarkEnd w:id="1"/>
      <w:bookmarkEnd w:id="2"/>
      <w:bookmarkEnd w:id="3"/>
    </w:p>
    <w:p>
      <w:pPr>
        <w:pStyle w:val="2"/>
        <w:widowControl/>
        <w:tabs>
          <w:tab w:val="left" w:pos="420"/>
          <w:tab w:val="left" w:pos="525"/>
          <w:tab w:val="left" w:pos="576"/>
        </w:tabs>
        <w:spacing w:before="0" w:beforeLines="0" w:after="0" w:afterLines="0" w:line="360" w:lineRule="auto"/>
        <w:jc w:val="both"/>
        <w:rPr>
          <w:rFonts w:ascii="黑体" w:hAnsi="宋体"/>
          <w:b w:val="0"/>
          <w:sz w:val="24"/>
        </w:rPr>
      </w:pPr>
      <w:r>
        <w:rPr>
          <w:rFonts w:hint="eastAsia" w:ascii="黑体" w:hAnsi="宋体"/>
          <w:b w:val="0"/>
          <w:sz w:val="24"/>
        </w:rPr>
        <w:t>2.1</w:t>
      </w:r>
      <w:r>
        <w:rPr>
          <w:rFonts w:ascii="黑体" w:hAnsi="宋体"/>
          <w:b w:val="0"/>
          <w:sz w:val="24"/>
        </w:rPr>
        <w:t>项目概述</w:t>
      </w:r>
    </w:p>
    <w:p>
      <w:pPr>
        <w:spacing w:line="360" w:lineRule="auto"/>
        <w:ind w:firstLine="480" w:firstLineChars="200"/>
        <w:rPr>
          <w:rFonts w:hint="eastAsia"/>
          <w:color w:val="000000"/>
          <w:sz w:val="24"/>
        </w:rPr>
      </w:pPr>
      <w:r>
        <w:rPr>
          <w:rFonts w:hint="eastAsia"/>
          <w:color w:val="000000"/>
          <w:sz w:val="24"/>
        </w:rPr>
        <w:t>本项目为湖南省湘澧盐化有限责任公司生态盐分级分筛车间建设项目</w:t>
      </w:r>
      <w:r>
        <w:rPr>
          <w:rFonts w:hint="eastAsia"/>
          <w:color w:val="000000"/>
          <w:sz w:val="24"/>
          <w:lang w:val="en-US" w:eastAsia="zh-CN"/>
        </w:rPr>
        <w:t>给袋式包装机采购</w:t>
      </w:r>
      <w:r>
        <w:rPr>
          <w:rFonts w:hint="eastAsia"/>
          <w:color w:val="000000"/>
          <w:sz w:val="24"/>
        </w:rPr>
        <w:t>。</w:t>
      </w:r>
    </w:p>
    <w:p>
      <w:pPr>
        <w:pStyle w:val="2"/>
        <w:widowControl/>
        <w:tabs>
          <w:tab w:val="left" w:pos="420"/>
          <w:tab w:val="left" w:pos="525"/>
          <w:tab w:val="left" w:pos="576"/>
        </w:tabs>
        <w:spacing w:before="0" w:beforeLines="0" w:after="0" w:afterLines="0" w:line="360" w:lineRule="auto"/>
        <w:jc w:val="both"/>
        <w:rPr>
          <w:rFonts w:hint="eastAsia" w:ascii="黑体" w:hAnsi="宋体"/>
          <w:b w:val="0"/>
          <w:sz w:val="24"/>
        </w:rPr>
      </w:pPr>
      <w:r>
        <w:rPr>
          <w:rFonts w:hint="eastAsia" w:ascii="黑体" w:hAnsi="宋体"/>
          <w:b w:val="0"/>
          <w:sz w:val="24"/>
        </w:rPr>
        <w:t>2.2公用工程及气象条件</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湖南省湘澧盐化有限责任公司所在区域属中亚热带季风湿润气候区，具有热量丰富，无霜期长，光照充足，雨量充沛，气温垂直差异明显，气候要素时空分布不均等特点。</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历年平均气温：                 16.5℃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绝对最高气温：                 40.5℃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绝对最低气温：                -13.5℃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历年平均相对湿度：             80%</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多年平均气压：                 101.14kpa</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历年平均降雨量：               1273.7mm</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最大日降雨量：                 232mm</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最大积雪厚度：                 200mm</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多年平均风速：                 2.6m/s</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最大风速：                　　 21.7m/s</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夏季主导风向：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南、西南</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 xml:space="preserve">冬季主导风向：          </w:t>
      </w:r>
      <w:r>
        <w:rPr>
          <w:rFonts w:hint="eastAsia" w:ascii="新宋体" w:hAnsi="新宋体" w:eastAsia="新宋体" w:cs="新宋体"/>
          <w:sz w:val="24"/>
          <w:lang w:val="en-US" w:eastAsia="zh-CN"/>
        </w:rPr>
        <w:t xml:space="preserve">     </w:t>
      </w:r>
      <w:r>
        <w:rPr>
          <w:rFonts w:hint="eastAsia" w:ascii="新宋体" w:hAnsi="新宋体" w:eastAsia="新宋体" w:cs="新宋体"/>
          <w:sz w:val="24"/>
        </w:rPr>
        <w:t xml:space="preserve">  北、东北（频率18%）</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评价地区常年主导风风向为北、北东风，风向频率分别为18%；夏季盛行南、南西风，风向频率为17%。全年静风频率为17%，夏季较低，为12%，冬季较高，为22%。</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安装位置：湖南省湘澧盐化有限责任公司厂区制盐新干燥车间室内零米层安装。</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运行方式：连续运行</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吸入空气含尘量：10g/Nm</w:t>
      </w:r>
      <w:r>
        <w:rPr>
          <w:rFonts w:hint="eastAsia" w:ascii="新宋体" w:hAnsi="新宋体" w:eastAsia="新宋体" w:cs="新宋体"/>
          <w:sz w:val="24"/>
          <w:vertAlign w:val="superscript"/>
        </w:rPr>
        <w:t>3</w:t>
      </w:r>
      <w:r>
        <w:rPr>
          <w:rFonts w:hint="eastAsia" w:ascii="新宋体" w:hAnsi="新宋体" w:eastAsia="新宋体" w:cs="新宋体"/>
          <w:sz w:val="24"/>
        </w:rPr>
        <w:tab/>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危险区域：无</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地面照度：大于100 lux</w:t>
      </w:r>
    </w:p>
    <w:p>
      <w:pPr>
        <w:rPr>
          <w:rFonts w:ascii="黑体" w:hAnsi="宋体"/>
          <w:b/>
          <w:bCs/>
          <w:sz w:val="24"/>
        </w:rPr>
      </w:pPr>
      <w:r>
        <w:rPr>
          <w:b/>
          <w:bCs/>
          <w:sz w:val="24"/>
        </w:rPr>
        <w:t>2.</w:t>
      </w:r>
      <w:r>
        <w:rPr>
          <w:rFonts w:hint="eastAsia"/>
          <w:b/>
          <w:bCs/>
          <w:sz w:val="24"/>
        </w:rPr>
        <w:t>3</w:t>
      </w:r>
      <w:r>
        <w:rPr>
          <w:b/>
          <w:bCs/>
          <w:sz w:val="24"/>
        </w:rPr>
        <w:t xml:space="preserve"> </w:t>
      </w:r>
      <w:r>
        <w:rPr>
          <w:rFonts w:hint="eastAsia" w:ascii="黑体" w:hAnsi="宋体"/>
          <w:b/>
          <w:bCs/>
          <w:sz w:val="24"/>
        </w:rPr>
        <w:t>电力设施</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动力电源：AC 220V/380V，50Hz，三相五线制</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电压波动：±5%</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频率波动：±1%</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接地电阻：&lt;1Ω</w:t>
      </w:r>
    </w:p>
    <w:p>
      <w:pPr>
        <w:spacing w:line="360" w:lineRule="auto"/>
        <w:rPr>
          <w:rFonts w:ascii="黑体" w:hAnsi="宋体"/>
          <w:b/>
          <w:bCs/>
          <w:sz w:val="24"/>
        </w:rPr>
      </w:pPr>
      <w:r>
        <w:rPr>
          <w:b/>
          <w:bCs/>
          <w:sz w:val="24"/>
        </w:rPr>
        <w:t>2.</w:t>
      </w:r>
      <w:r>
        <w:rPr>
          <w:rFonts w:hint="eastAsia"/>
          <w:b/>
          <w:bCs/>
          <w:sz w:val="24"/>
        </w:rPr>
        <w:t>4</w:t>
      </w:r>
      <w:r>
        <w:rPr>
          <w:rFonts w:hint="eastAsia" w:ascii="黑体" w:hAnsi="宋体"/>
          <w:b/>
          <w:bCs/>
          <w:sz w:val="24"/>
        </w:rPr>
        <w:t>仪表气</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供给压力：0.5Mpa－0.7MPa（G）</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供给温度：环境温度</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过滤精度：颗粒度小于1um</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露    点：-10ºC</w:t>
      </w:r>
    </w:p>
    <w:p>
      <w:pPr>
        <w:spacing w:line="440" w:lineRule="exact"/>
        <w:ind w:firstLine="480" w:firstLineChars="200"/>
        <w:rPr>
          <w:rFonts w:hint="eastAsia" w:ascii="新宋体" w:hAnsi="新宋体" w:eastAsia="新宋体" w:cs="新宋体"/>
          <w:sz w:val="24"/>
        </w:rPr>
      </w:pPr>
    </w:p>
    <w:bookmarkEnd w:id="4"/>
    <w:p>
      <w:pPr>
        <w:pStyle w:val="2"/>
        <w:widowControl/>
        <w:tabs>
          <w:tab w:val="left" w:pos="420"/>
          <w:tab w:val="left" w:pos="525"/>
          <w:tab w:val="left" w:pos="576"/>
        </w:tabs>
        <w:spacing w:before="0" w:beforeLines="0" w:after="0" w:afterLines="0" w:line="360" w:lineRule="auto"/>
        <w:jc w:val="both"/>
        <w:rPr>
          <w:rFonts w:hint="eastAsia" w:ascii="宋体" w:hAnsi="宋体"/>
          <w:sz w:val="24"/>
        </w:rPr>
      </w:pPr>
      <w:bookmarkStart w:id="5" w:name="_Toc287280863"/>
      <w:bookmarkStart w:id="6" w:name="_Toc178652589"/>
      <w:r>
        <w:rPr>
          <w:rFonts w:hint="eastAsia" w:ascii="黑体" w:hAnsi="宋体"/>
          <w:b w:val="0"/>
          <w:sz w:val="24"/>
        </w:rPr>
        <w:t>2.5</w:t>
      </w:r>
      <w:r>
        <w:rPr>
          <w:rFonts w:hint="eastAsia" w:ascii="黑体" w:hAnsi="宋体"/>
          <w:b w:val="0"/>
          <w:sz w:val="24"/>
          <w:lang w:val="en-US" w:eastAsia="zh-CN"/>
        </w:rPr>
        <w:t>包装机</w:t>
      </w:r>
      <w:r>
        <w:rPr>
          <w:rFonts w:hint="eastAsia" w:ascii="黑体" w:hAnsi="宋体"/>
          <w:b w:val="0"/>
          <w:sz w:val="24"/>
        </w:rPr>
        <w:t>技术</w:t>
      </w:r>
      <w:r>
        <w:rPr>
          <w:rFonts w:ascii="黑体" w:hAnsi="宋体"/>
          <w:b w:val="0"/>
          <w:sz w:val="24"/>
        </w:rPr>
        <w:t>参数</w:t>
      </w:r>
      <w:bookmarkEnd w:id="5"/>
      <w:bookmarkEnd w:id="6"/>
      <w:r>
        <w:rPr>
          <w:rFonts w:hint="eastAsia" w:ascii="宋体" w:hAnsi="宋体"/>
          <w:sz w:val="24"/>
        </w:rPr>
        <w:t xml:space="preserve"> </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包装速度</w:t>
      </w:r>
      <w:r>
        <w:rPr>
          <w:rFonts w:hint="eastAsia" w:ascii="宋体" w:hAnsi="宋体" w:cs="宋体"/>
          <w:sz w:val="24"/>
        </w:rPr>
        <w:t>：≥</w:t>
      </w:r>
      <w:r>
        <w:rPr>
          <w:rFonts w:ascii="宋体" w:hAnsi="宋体" w:cs="宋体"/>
          <w:sz w:val="24"/>
        </w:rPr>
        <w:t>40-55bags/min，速度主要取决于物料流动性、包装袋难易程度。</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包装规格L</w:t>
      </w:r>
      <w:r>
        <w:rPr>
          <w:rFonts w:hint="eastAsia" w:ascii="宋体" w:hAnsi="宋体" w:cs="宋体"/>
          <w:sz w:val="24"/>
        </w:rPr>
        <w:t>：1</w:t>
      </w:r>
      <w:r>
        <w:rPr>
          <w:rFonts w:ascii="宋体" w:hAnsi="宋体" w:cs="宋体"/>
          <w:sz w:val="24"/>
        </w:rPr>
        <w:t>00-300mm，W</w:t>
      </w:r>
      <w:r>
        <w:rPr>
          <w:rFonts w:hint="eastAsia" w:ascii="宋体" w:hAnsi="宋体" w:cs="宋体"/>
          <w:sz w:val="24"/>
        </w:rPr>
        <w:t>：</w:t>
      </w:r>
      <w:r>
        <w:rPr>
          <w:rFonts w:ascii="宋体" w:hAnsi="宋体" w:cs="宋体"/>
          <w:sz w:val="24"/>
        </w:rPr>
        <w:t>100-210mm</w:t>
      </w:r>
    </w:p>
    <w:p>
      <w:pPr>
        <w:numPr>
          <w:ilvl w:val="0"/>
          <w:numId w:val="1"/>
        </w:numPr>
        <w:spacing w:line="360" w:lineRule="auto"/>
        <w:ind w:left="845" w:leftChars="0" w:hanging="425" w:firstLineChars="0"/>
        <w:jc w:val="left"/>
        <w:rPr>
          <w:rFonts w:ascii="宋体" w:hAnsi="宋体" w:cs="宋体"/>
          <w:sz w:val="24"/>
        </w:rPr>
      </w:pPr>
      <w:r>
        <w:rPr>
          <w:rFonts w:hint="eastAsia" w:ascii="宋体" w:hAnsi="宋体" w:cs="宋体"/>
          <w:sz w:val="24"/>
        </w:rPr>
        <w:t>精度：±5g/500g</w:t>
      </w:r>
    </w:p>
    <w:p>
      <w:pPr>
        <w:numPr>
          <w:ilvl w:val="0"/>
          <w:numId w:val="1"/>
        </w:numPr>
        <w:spacing w:line="360" w:lineRule="auto"/>
        <w:ind w:left="845" w:leftChars="0" w:hanging="425" w:firstLineChars="0"/>
        <w:jc w:val="left"/>
        <w:rPr>
          <w:rFonts w:ascii="宋体" w:hAnsi="宋体" w:cs="宋体"/>
          <w:sz w:val="24"/>
        </w:rPr>
      </w:pPr>
      <w:r>
        <w:rPr>
          <w:rFonts w:hint="eastAsia" w:ascii="宋体" w:hAnsi="宋体" w:cs="宋体"/>
          <w:sz w:val="24"/>
        </w:rPr>
        <w:t>包装合格率＞99%；</w:t>
      </w:r>
    </w:p>
    <w:p>
      <w:pPr>
        <w:numPr>
          <w:ilvl w:val="0"/>
          <w:numId w:val="1"/>
        </w:numPr>
        <w:spacing w:line="360" w:lineRule="auto"/>
        <w:ind w:left="845" w:leftChars="0" w:hanging="425" w:firstLineChars="0"/>
        <w:jc w:val="left"/>
        <w:rPr>
          <w:rFonts w:ascii="宋体" w:hAnsi="宋体" w:cs="宋体"/>
          <w:sz w:val="24"/>
        </w:rPr>
      </w:pPr>
      <w:r>
        <w:rPr>
          <w:rFonts w:hint="eastAsia" w:ascii="宋体" w:hAnsi="宋体" w:cs="宋体"/>
          <w:sz w:val="24"/>
        </w:rPr>
        <w:t>主机材质：接触盐部分材质为3</w:t>
      </w:r>
      <w:r>
        <w:rPr>
          <w:rFonts w:ascii="宋体" w:hAnsi="宋体" w:cs="宋体"/>
          <w:sz w:val="24"/>
        </w:rPr>
        <w:t>16L</w:t>
      </w:r>
      <w:r>
        <w:rPr>
          <w:rFonts w:hint="eastAsia" w:ascii="宋体" w:hAnsi="宋体" w:cs="宋体"/>
          <w:sz w:val="24"/>
        </w:rPr>
        <w:t>不锈钢，其它部分为SUS</w:t>
      </w:r>
      <w:r>
        <w:rPr>
          <w:rFonts w:ascii="宋体" w:hAnsi="宋体" w:cs="宋体"/>
          <w:sz w:val="24"/>
        </w:rPr>
        <w:t>304</w:t>
      </w:r>
      <w:r>
        <w:rPr>
          <w:rFonts w:hint="eastAsia" w:ascii="宋体" w:hAnsi="宋体" w:cs="宋体"/>
          <w:sz w:val="24"/>
        </w:rPr>
        <w:t>不锈钢</w:t>
      </w:r>
    </w:p>
    <w:p>
      <w:pPr>
        <w:numPr>
          <w:ilvl w:val="0"/>
          <w:numId w:val="1"/>
        </w:numPr>
        <w:spacing w:line="360" w:lineRule="auto"/>
        <w:ind w:left="845" w:leftChars="0" w:hanging="425" w:firstLineChars="0"/>
        <w:jc w:val="left"/>
        <w:rPr>
          <w:rFonts w:ascii="宋体" w:hAnsi="宋体" w:cs="宋体"/>
          <w:sz w:val="24"/>
        </w:rPr>
      </w:pPr>
      <w:r>
        <w:rPr>
          <w:rFonts w:hint="eastAsia" w:ascii="宋体" w:hAnsi="宋体" w:cs="宋体"/>
          <w:sz w:val="24"/>
        </w:rPr>
        <w:t>从料仓闸门出口软连接开始到包装封口9</w:t>
      </w:r>
      <w:r>
        <w:rPr>
          <w:rFonts w:ascii="宋体" w:hAnsi="宋体" w:cs="宋体"/>
          <w:sz w:val="24"/>
        </w:rPr>
        <w:t>0</w:t>
      </w:r>
      <w:r>
        <w:rPr>
          <w:rFonts w:hint="eastAsia" w:ascii="宋体" w:hAnsi="宋体" w:cs="宋体"/>
          <w:sz w:val="24"/>
        </w:rPr>
        <w:t>°滑道出口为止</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包装形式预制袋（平面袋、自立袋</w:t>
      </w:r>
      <w:r>
        <w:rPr>
          <w:rFonts w:hint="eastAsia" w:ascii="宋体" w:hAnsi="宋体" w:cs="宋体"/>
          <w:sz w:val="24"/>
        </w:rPr>
        <w:t>、</w:t>
      </w:r>
      <w:r>
        <w:rPr>
          <w:rFonts w:ascii="宋体" w:hAnsi="宋体" w:cs="宋体"/>
          <w:sz w:val="24"/>
        </w:rPr>
        <w:t>手提袋等）</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气源6kg/cm²，0.4m³/min</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包装材料单层PE，PE复合膜、纸膜及其他各种复合膜</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电源类型380V，总功率</w:t>
      </w:r>
      <w:r>
        <w:rPr>
          <w:rFonts w:hint="eastAsia" w:ascii="宋体" w:hAnsi="宋体" w:cs="宋体"/>
          <w:sz w:val="24"/>
        </w:rPr>
        <w:t>约</w:t>
      </w:r>
      <w:r>
        <w:rPr>
          <w:rFonts w:ascii="宋体" w:hAnsi="宋体" w:cs="宋体"/>
          <w:sz w:val="24"/>
        </w:rPr>
        <w:t>：10KW</w:t>
      </w:r>
    </w:p>
    <w:p>
      <w:pPr>
        <w:spacing w:line="276" w:lineRule="auto"/>
        <w:rPr>
          <w:rFonts w:ascii="黑体" w:hAnsi="宋体"/>
          <w:b/>
          <w:sz w:val="24"/>
        </w:rPr>
      </w:pPr>
    </w:p>
    <w:p>
      <w:pPr>
        <w:numPr>
          <w:ilvl w:val="0"/>
          <w:numId w:val="0"/>
        </w:numPr>
        <w:spacing w:line="360" w:lineRule="auto"/>
        <w:ind w:leftChars="-177"/>
        <w:jc w:val="left"/>
        <w:rPr>
          <w:rFonts w:hint="eastAsia" w:ascii="Microsoft JhengHei" w:hAnsi="Microsoft JhengHei" w:eastAsia="Microsoft JhengHei" w:cs="Microsoft JhengHei"/>
          <w:b w:val="0"/>
          <w:bCs w:val="0"/>
          <w:color w:val="auto"/>
          <w:sz w:val="28"/>
          <w:szCs w:val="28"/>
        </w:rPr>
      </w:pPr>
      <w:bookmarkStart w:id="7" w:name="_Toc287280865"/>
      <w:bookmarkStart w:id="8" w:name="_Toc464230164"/>
      <w:r>
        <w:rPr>
          <w:rFonts w:hint="eastAsia" w:ascii="Microsoft JhengHei" w:hAnsi="Microsoft JhengHei" w:eastAsia="Microsoft JhengHei" w:cs="Microsoft JhengHei"/>
          <w:b w:val="0"/>
          <w:bCs w:val="0"/>
          <w:color w:val="auto"/>
          <w:sz w:val="28"/>
          <w:szCs w:val="28"/>
        </w:rPr>
        <w:t>3</w:t>
      </w:r>
      <w:bookmarkEnd w:id="7"/>
      <w:bookmarkEnd w:id="8"/>
      <w:bookmarkStart w:id="9" w:name="_Toc178652596"/>
      <w:bookmarkStart w:id="10" w:name="_Toc511026275"/>
      <w:bookmarkStart w:id="11" w:name="_Toc444805479"/>
      <w:r>
        <w:rPr>
          <w:rFonts w:hint="eastAsia" w:ascii="Microsoft JhengHei" w:hAnsi="Microsoft JhengHei" w:eastAsia="Microsoft JhengHei" w:cs="Microsoft JhengHei"/>
          <w:b w:val="0"/>
          <w:bCs w:val="0"/>
          <w:color w:val="auto"/>
          <w:sz w:val="28"/>
          <w:szCs w:val="28"/>
        </w:rPr>
        <w:t>主要结构性能</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整机为十工位结构，运行由（带运动功能）可编程控制器PLC、大屏幕触摸屏集中控制，操作简单、方便。</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配套故障自动跟踪报警系统，运行状况实时显示。</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空袋跟踪检测装置，实现不开袋不落料不封口。</w:t>
      </w:r>
    </w:p>
    <w:p>
      <w:pPr>
        <w:numPr>
          <w:ilvl w:val="0"/>
          <w:numId w:val="2"/>
        </w:numPr>
        <w:spacing w:line="360" w:lineRule="auto"/>
        <w:ind w:left="420" w:leftChars="0" w:hanging="420" w:firstLineChars="0"/>
        <w:jc w:val="left"/>
        <w:rPr>
          <w:rFonts w:ascii="宋体" w:hAnsi="宋体" w:cs="宋体"/>
          <w:sz w:val="24"/>
        </w:rPr>
      </w:pPr>
      <w:r>
        <w:rPr>
          <w:rFonts w:hint="eastAsia" w:ascii="宋体" w:hAnsi="宋体" w:cs="宋体"/>
          <w:sz w:val="24"/>
        </w:rPr>
        <w:t>具有开袋口和开底袋功能</w:t>
      </w:r>
    </w:p>
    <w:p>
      <w:pPr>
        <w:numPr>
          <w:ilvl w:val="0"/>
          <w:numId w:val="2"/>
        </w:numPr>
        <w:spacing w:line="360" w:lineRule="auto"/>
        <w:ind w:left="420" w:leftChars="0" w:hanging="420" w:firstLineChars="0"/>
        <w:jc w:val="left"/>
        <w:rPr>
          <w:rFonts w:ascii="宋体" w:hAnsi="宋体" w:cs="宋体"/>
          <w:sz w:val="24"/>
        </w:rPr>
      </w:pPr>
      <w:r>
        <w:rPr>
          <w:rFonts w:hint="eastAsia" w:ascii="宋体" w:hAnsi="宋体" w:cs="宋体"/>
          <w:sz w:val="24"/>
        </w:rPr>
        <w:t>配置袋口除尘工位</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动作执行采用全伺服控制系统，执行可靠快速且准确。</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整机设计符合GMP标准,并通过CE认证。</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 xml:space="preserve">机架采用整体式，焊接更加牢固，机架尺寸调整后外观更加简洁紧凑美观，便于清洁，且节约整机的安装场地。 </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主驱动及给袋，开袋，投料，热冷封等工位驱动采用伺服电机，取代以往传统包 装机凸轮机械的动作执行方式，机械设计和传动系统简洁，工作可靠，维护保养更方便。</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 xml:space="preserve">各工位驱动伺服电机均配备伺服驱动器，可快速调节工位部件，调试简单容易操作。 </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工控机控制系统，全程显示并可实时监控，模块区分清晰，触摸屏人机界面操作 更方便，可实现一键整机复位，可通过触摸屏实现各工位控制，工作速度可在规定范围内由触摸屏随意调节。</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 xml:space="preserve">可智能检测开袋情况，在不合适加料的情况下不加料不热封，不浪费袋子，可为 用户节约可观的成本。 </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 xml:space="preserve">机器在工作气压异常，加热管故障等设备本身或周围工作环境出现异常，系统自动报警提示，定位停机，过载保护，安全装置，故障自动 诊断功能，显示一目了然，使用省心。 </w:t>
      </w:r>
    </w:p>
    <w:p>
      <w:pPr>
        <w:numPr>
          <w:ilvl w:val="0"/>
          <w:numId w:val="2"/>
        </w:numPr>
        <w:spacing w:line="360" w:lineRule="auto"/>
        <w:ind w:left="420" w:leftChars="0" w:hanging="420" w:firstLineChars="0"/>
        <w:jc w:val="left"/>
      </w:pPr>
      <w:r>
        <w:rPr>
          <w:rFonts w:ascii="宋体" w:hAnsi="宋体" w:cs="宋体"/>
          <w:sz w:val="24"/>
        </w:rPr>
        <w:t>给袋包装机</w:t>
      </w:r>
      <w:r>
        <w:rPr>
          <w:rFonts w:hint="eastAsia" w:ascii="宋体" w:hAnsi="宋体" w:cs="宋体"/>
          <w:sz w:val="24"/>
          <w:lang w:val="en-US" w:eastAsia="zh-CN"/>
        </w:rPr>
        <w:t>应</w:t>
      </w:r>
      <w:r>
        <w:rPr>
          <w:rFonts w:ascii="宋体" w:hAnsi="宋体" w:cs="宋体"/>
          <w:sz w:val="24"/>
        </w:rPr>
        <w:t>具有速度快，稳定性好，控制精度高，</w:t>
      </w:r>
      <w:r>
        <w:rPr>
          <w:rFonts w:hint="eastAsia" w:ascii="宋体" w:hAnsi="宋体" w:cs="宋体"/>
          <w:sz w:val="24"/>
          <w:lang w:val="en-US" w:eastAsia="zh-CN"/>
        </w:rPr>
        <w:t>且</w:t>
      </w:r>
      <w:r>
        <w:rPr>
          <w:rFonts w:ascii="宋体" w:hAnsi="宋体" w:cs="宋体"/>
          <w:sz w:val="24"/>
        </w:rPr>
        <w:t>包装物并不产生接触，保证了包装物料的清洁</w:t>
      </w:r>
      <w:r>
        <w:rPr>
          <w:rFonts w:hint="eastAsia" w:ascii="宋体" w:hAnsi="宋体" w:cs="宋体"/>
          <w:sz w:val="24"/>
          <w:lang w:val="en-US" w:eastAsia="zh-CN"/>
        </w:rPr>
        <w:t>和</w:t>
      </w:r>
      <w:r>
        <w:rPr>
          <w:rFonts w:ascii="宋体" w:hAnsi="宋体" w:cs="宋体"/>
          <w:sz w:val="24"/>
        </w:rPr>
        <w:t>机器的使用寿命。</w:t>
      </w:r>
    </w:p>
    <w:p>
      <w:pPr>
        <w:numPr>
          <w:ilvl w:val="0"/>
          <w:numId w:val="0"/>
        </w:numPr>
        <w:spacing w:line="360" w:lineRule="auto"/>
        <w:jc w:val="left"/>
        <w:rPr>
          <w:rFonts w:ascii="黑体" w:hAnsi="宋体"/>
          <w:b/>
          <w:sz w:val="24"/>
        </w:rPr>
      </w:pPr>
      <w:r>
        <w:rPr>
          <w:rFonts w:hint="eastAsia" w:ascii="宋体" w:hAnsi="宋体" w:cs="宋体"/>
          <w:b/>
          <w:bCs/>
          <w:sz w:val="18"/>
          <w:szCs w:val="18"/>
          <w:lang w:val="en-US" w:eastAsia="zh-CN"/>
        </w:rPr>
        <w:t xml:space="preserve">O)  </w:t>
      </w:r>
      <w:r>
        <w:rPr>
          <w:rFonts w:ascii="宋体" w:hAnsi="宋体" w:cs="宋体"/>
          <w:sz w:val="24"/>
        </w:rPr>
        <w:t>采用多工位旋转式包装，有效的节约时间，提高了包装效率，自动化程度高、专业性强、生产效率高、故障率低。</w:t>
      </w:r>
    </w:p>
    <w:bookmarkEnd w:id="9"/>
    <w:p>
      <w:pPr>
        <w:rPr>
          <w:color w:val="FF0000"/>
        </w:rPr>
      </w:pPr>
    </w:p>
    <w:bookmarkEnd w:id="10"/>
    <w:bookmarkEnd w:id="11"/>
    <w:p>
      <w:pPr>
        <w:pStyle w:val="3"/>
        <w:keepLines w:val="0"/>
        <w:widowControl/>
        <w:tabs>
          <w:tab w:val="left" w:pos="420"/>
        </w:tabs>
        <w:spacing w:before="0" w:line="240" w:lineRule="auto"/>
        <w:ind w:left="0" w:leftChars="0" w:firstLine="0" w:firstLineChars="0"/>
        <w:jc w:val="both"/>
        <w:rPr>
          <w:rFonts w:hint="eastAsia" w:ascii="黑体" w:hAnsi="宋体" w:cs="Arial"/>
          <w:b w:val="0"/>
          <w:color w:val="auto"/>
          <w:sz w:val="28"/>
          <w:szCs w:val="28"/>
        </w:rPr>
      </w:pPr>
      <w:bookmarkStart w:id="12" w:name="_Toc241660045"/>
      <w:bookmarkStart w:id="13" w:name="_Toc224729655"/>
      <w:bookmarkStart w:id="14" w:name="_Toc464230166"/>
      <w:bookmarkStart w:id="15" w:name="_Toc287280875"/>
      <w:bookmarkStart w:id="16" w:name="_Toc444805483"/>
      <w:r>
        <w:rPr>
          <w:rFonts w:hint="eastAsia" w:ascii="黑体" w:hAnsi="宋体" w:eastAsia="宋体" w:cs="Arial"/>
          <w:b w:val="0"/>
          <w:color w:val="auto"/>
          <w:sz w:val="28"/>
          <w:szCs w:val="28"/>
          <w:lang w:val="en-US" w:eastAsia="zh-CN"/>
        </w:rPr>
        <w:t>4</w:t>
      </w:r>
      <w:r>
        <w:rPr>
          <w:rFonts w:hint="eastAsia" w:ascii="黑体" w:hAnsi="宋体" w:cs="Arial"/>
          <w:b w:val="0"/>
          <w:color w:val="auto"/>
          <w:sz w:val="28"/>
          <w:szCs w:val="28"/>
        </w:rPr>
        <w:t>.技术</w:t>
      </w:r>
      <w:r>
        <w:rPr>
          <w:rFonts w:ascii="黑体" w:hAnsi="宋体" w:cs="Arial"/>
          <w:b w:val="0"/>
          <w:color w:val="auto"/>
          <w:sz w:val="28"/>
          <w:szCs w:val="28"/>
        </w:rPr>
        <w:t>服务</w:t>
      </w:r>
      <w:r>
        <w:rPr>
          <w:rFonts w:hint="eastAsia" w:ascii="黑体" w:hAnsi="宋体" w:cs="Arial"/>
          <w:b w:val="0"/>
          <w:color w:val="auto"/>
          <w:sz w:val="28"/>
          <w:szCs w:val="28"/>
        </w:rPr>
        <w:t>、培训和售后服务</w:t>
      </w:r>
      <w:bookmarkEnd w:id="12"/>
      <w:bookmarkEnd w:id="13"/>
      <w:bookmarkEnd w:id="14"/>
      <w:bookmarkEnd w:id="15"/>
      <w:bookmarkEnd w:id="16"/>
    </w:p>
    <w:p>
      <w:pPr>
        <w:keepNext/>
        <w:spacing w:before="312" w:beforeLines="100" w:after="156" w:afterLines="50"/>
        <w:jc w:val="left"/>
        <w:outlineLvl w:val="1"/>
        <w:rPr>
          <w:rFonts w:ascii="Arial" w:hAnsi="Arial" w:eastAsia="黑体" w:cs="Arial"/>
          <w:bCs/>
          <w:color w:val="auto"/>
          <w:sz w:val="24"/>
        </w:rPr>
      </w:pPr>
      <w:bookmarkStart w:id="17" w:name="_Toc287280877"/>
      <w:bookmarkStart w:id="18" w:name="_Toc224729657"/>
      <w:bookmarkStart w:id="19" w:name="_Toc463657509"/>
      <w:bookmarkStart w:id="20" w:name="_Toc241660047"/>
      <w:bookmarkStart w:id="21" w:name="_Toc462415862"/>
      <w:r>
        <w:rPr>
          <w:rFonts w:hint="eastAsia" w:ascii="Arial" w:hAnsi="Arial" w:eastAsia="黑体" w:cs="Arial"/>
          <w:bCs/>
          <w:color w:val="auto"/>
          <w:sz w:val="24"/>
          <w:lang w:val="en-US" w:eastAsia="zh-CN"/>
        </w:rPr>
        <w:t>4</w:t>
      </w:r>
      <w:r>
        <w:rPr>
          <w:rFonts w:hint="eastAsia" w:ascii="Arial" w:hAnsi="Arial" w:eastAsia="黑体" w:cs="Arial"/>
          <w:bCs/>
          <w:color w:val="auto"/>
          <w:sz w:val="24"/>
        </w:rPr>
        <w:t>.</w:t>
      </w:r>
      <w:r>
        <w:rPr>
          <w:rFonts w:hint="eastAsia" w:ascii="Arial" w:hAnsi="Arial" w:eastAsia="黑体" w:cs="Arial"/>
          <w:bCs/>
          <w:color w:val="auto"/>
          <w:sz w:val="24"/>
          <w:lang w:val="en-US" w:eastAsia="zh-CN"/>
        </w:rPr>
        <w:t>1</w:t>
      </w:r>
      <w:r>
        <w:rPr>
          <w:rFonts w:hint="eastAsia" w:ascii="Arial" w:hAnsi="Arial" w:eastAsia="黑体" w:cs="Arial"/>
          <w:bCs/>
          <w:color w:val="auto"/>
          <w:sz w:val="24"/>
        </w:rPr>
        <w:t>安装指导、调试</w:t>
      </w:r>
      <w:bookmarkEnd w:id="17"/>
      <w:bookmarkEnd w:id="18"/>
      <w:bookmarkEnd w:id="19"/>
      <w:bookmarkEnd w:id="20"/>
      <w:bookmarkEnd w:id="21"/>
    </w:p>
    <w:p>
      <w:pPr>
        <w:spacing w:line="360" w:lineRule="auto"/>
        <w:ind w:firstLine="480" w:firstLineChars="200"/>
        <w:rPr>
          <w:rFonts w:ascii="宋体" w:hAnsi="宋体" w:cs="Arial"/>
          <w:color w:val="auto"/>
          <w:sz w:val="24"/>
        </w:rPr>
      </w:pPr>
      <w:r>
        <w:rPr>
          <w:rFonts w:hint="eastAsia" w:ascii="宋体" w:hAnsi="宋体" w:cs="Arial"/>
          <w:color w:val="auto"/>
          <w:sz w:val="24"/>
        </w:rPr>
        <w:t>1）乙方提供所供设备的现场安装指导。</w:t>
      </w:r>
    </w:p>
    <w:p>
      <w:pPr>
        <w:spacing w:line="360" w:lineRule="auto"/>
        <w:ind w:firstLine="480" w:firstLineChars="200"/>
        <w:rPr>
          <w:rFonts w:ascii="宋体" w:hAnsi="宋体" w:cs="Arial"/>
          <w:color w:val="auto"/>
          <w:sz w:val="24"/>
        </w:rPr>
      </w:pPr>
      <w:r>
        <w:rPr>
          <w:rFonts w:ascii="宋体" w:hAnsi="宋体" w:cs="Arial"/>
          <w:color w:val="auto"/>
          <w:sz w:val="24"/>
        </w:rPr>
        <w:t>2</w:t>
      </w:r>
      <w:r>
        <w:rPr>
          <w:rFonts w:hint="eastAsia" w:ascii="宋体" w:hAnsi="宋体" w:cs="Arial"/>
          <w:color w:val="auto"/>
          <w:sz w:val="24"/>
        </w:rPr>
        <w:t>）</w:t>
      </w:r>
      <w:r>
        <w:rPr>
          <w:rFonts w:ascii="宋体" w:hAnsi="宋体" w:cs="Arial"/>
          <w:color w:val="auto"/>
          <w:sz w:val="24"/>
        </w:rPr>
        <w:t>在按照</w:t>
      </w:r>
      <w:r>
        <w:rPr>
          <w:rFonts w:hint="eastAsia" w:ascii="宋体" w:hAnsi="宋体" w:cs="Arial"/>
          <w:color w:val="auto"/>
          <w:sz w:val="24"/>
        </w:rPr>
        <w:t>乙方</w:t>
      </w:r>
      <w:r>
        <w:rPr>
          <w:rFonts w:ascii="宋体" w:hAnsi="宋体" w:cs="Arial"/>
          <w:color w:val="auto"/>
          <w:sz w:val="24"/>
        </w:rPr>
        <w:t>公司的图纸和说明完成机械和电气安装</w:t>
      </w:r>
      <w:r>
        <w:rPr>
          <w:rFonts w:hint="eastAsia" w:ascii="宋体" w:hAnsi="宋体" w:cs="Arial"/>
          <w:color w:val="auto"/>
          <w:sz w:val="24"/>
        </w:rPr>
        <w:t>后</w:t>
      </w:r>
      <w:r>
        <w:rPr>
          <w:rFonts w:ascii="宋体" w:hAnsi="宋体" w:cs="Arial"/>
          <w:color w:val="auto"/>
          <w:sz w:val="24"/>
        </w:rPr>
        <w:t>，</w:t>
      </w:r>
      <w:r>
        <w:rPr>
          <w:rFonts w:hint="eastAsia" w:ascii="宋体" w:hAnsi="宋体" w:cs="Arial"/>
          <w:color w:val="auto"/>
          <w:sz w:val="24"/>
        </w:rPr>
        <w:t>乙方</w:t>
      </w:r>
      <w:r>
        <w:rPr>
          <w:rFonts w:ascii="宋体" w:hAnsi="宋体" w:cs="Arial"/>
          <w:color w:val="auto"/>
          <w:sz w:val="24"/>
        </w:rPr>
        <w:t>公司</w:t>
      </w:r>
      <w:r>
        <w:rPr>
          <w:rFonts w:hint="eastAsia" w:ascii="宋体" w:hAnsi="宋体" w:cs="Arial"/>
          <w:color w:val="auto"/>
          <w:sz w:val="24"/>
        </w:rPr>
        <w:t>将派遣专业的调试队伍对设备进行调试</w:t>
      </w:r>
      <w:r>
        <w:rPr>
          <w:rFonts w:ascii="宋体" w:hAnsi="宋体" w:cs="Arial"/>
          <w:color w:val="auto"/>
          <w:sz w:val="24"/>
        </w:rPr>
        <w:t>。</w:t>
      </w:r>
    </w:p>
    <w:p>
      <w:pPr>
        <w:spacing w:line="360" w:lineRule="auto"/>
        <w:ind w:firstLine="480" w:firstLineChars="200"/>
        <w:rPr>
          <w:rFonts w:ascii="宋体" w:hAnsi="宋体" w:cs="Arial"/>
          <w:color w:val="auto"/>
          <w:sz w:val="24"/>
        </w:rPr>
      </w:pPr>
      <w:r>
        <w:rPr>
          <w:rFonts w:hint="eastAsia" w:ascii="宋体" w:hAnsi="宋体" w:cs="Arial"/>
          <w:color w:val="auto"/>
          <w:sz w:val="24"/>
          <w:lang w:val="en-US" w:eastAsia="zh-CN"/>
        </w:rPr>
        <w:t>3</w:t>
      </w:r>
      <w:r>
        <w:rPr>
          <w:rFonts w:hint="eastAsia" w:ascii="宋体" w:hAnsi="宋体" w:cs="Arial"/>
          <w:color w:val="auto"/>
          <w:sz w:val="24"/>
        </w:rPr>
        <w:t>）</w:t>
      </w:r>
      <w:r>
        <w:rPr>
          <w:rFonts w:ascii="宋体" w:hAnsi="宋体" w:cs="Arial"/>
          <w:color w:val="auto"/>
          <w:sz w:val="24"/>
        </w:rPr>
        <w:t>为了避免调试期间任何不必要的支出和延误，用户须确保与调试系统有关的所有设备已经就绪，并且有足够的物料。调试期间，如果需要，用户须派代表协助</w:t>
      </w:r>
      <w:r>
        <w:rPr>
          <w:rFonts w:hint="eastAsia" w:ascii="宋体" w:hAnsi="宋体" w:cs="Arial"/>
          <w:color w:val="auto"/>
          <w:sz w:val="24"/>
        </w:rPr>
        <w:t>乙方</w:t>
      </w:r>
      <w:r>
        <w:rPr>
          <w:rFonts w:ascii="宋体" w:hAnsi="宋体" w:cs="Arial"/>
          <w:color w:val="auto"/>
          <w:sz w:val="24"/>
        </w:rPr>
        <w:t xml:space="preserve">公司工程师工作。 </w:t>
      </w:r>
    </w:p>
    <w:p>
      <w:pPr>
        <w:spacing w:line="360" w:lineRule="auto"/>
        <w:ind w:firstLine="480" w:firstLineChars="200"/>
        <w:rPr>
          <w:rFonts w:ascii="宋体" w:hAnsi="宋体" w:cs="Arial"/>
          <w:color w:val="auto"/>
          <w:sz w:val="24"/>
        </w:rPr>
      </w:pPr>
      <w:r>
        <w:rPr>
          <w:rFonts w:hint="eastAsia" w:ascii="宋体" w:hAnsi="宋体" w:cs="Arial"/>
          <w:color w:val="auto"/>
          <w:sz w:val="24"/>
          <w:lang w:val="en-US" w:eastAsia="zh-CN"/>
        </w:rPr>
        <w:t>4</w:t>
      </w:r>
      <w:r>
        <w:rPr>
          <w:rFonts w:hint="eastAsia" w:ascii="宋体" w:hAnsi="宋体" w:cs="Arial"/>
          <w:color w:val="auto"/>
          <w:sz w:val="24"/>
        </w:rPr>
        <w:t>）</w:t>
      </w:r>
      <w:r>
        <w:rPr>
          <w:rFonts w:hint="eastAsia" w:ascii="宋体" w:hAnsi="宋体" w:cs="Arial"/>
          <w:color w:val="auto"/>
          <w:sz w:val="24"/>
          <w:lang w:val="en-US" w:eastAsia="zh-CN"/>
        </w:rPr>
        <w:t>包装机</w:t>
      </w:r>
      <w:r>
        <w:rPr>
          <w:rFonts w:ascii="宋体" w:hAnsi="宋体" w:cs="Arial"/>
          <w:color w:val="auto"/>
          <w:sz w:val="24"/>
        </w:rPr>
        <w:t>调试完成和运行检验满意后，用户代表应签署验收合格报告表明设备已满足用户的要求。</w:t>
      </w:r>
    </w:p>
    <w:p>
      <w:pPr>
        <w:keepNext/>
        <w:spacing w:before="312" w:beforeLines="100" w:after="156" w:afterLines="50"/>
        <w:jc w:val="left"/>
        <w:outlineLvl w:val="1"/>
        <w:rPr>
          <w:rFonts w:ascii="Arial" w:hAnsi="Arial" w:eastAsia="黑体" w:cs="Arial"/>
          <w:bCs/>
          <w:color w:val="auto"/>
          <w:sz w:val="24"/>
        </w:rPr>
      </w:pPr>
      <w:bookmarkStart w:id="22" w:name="_Toc462415863"/>
      <w:bookmarkStart w:id="23" w:name="_Toc241660048"/>
      <w:bookmarkStart w:id="24" w:name="_Toc287280878"/>
      <w:bookmarkStart w:id="25" w:name="_Toc224729658"/>
      <w:bookmarkStart w:id="26" w:name="_Toc463657510"/>
      <w:r>
        <w:rPr>
          <w:rFonts w:hint="eastAsia" w:ascii="Arial" w:hAnsi="Arial" w:eastAsia="黑体" w:cs="Arial"/>
          <w:bCs/>
          <w:color w:val="auto"/>
          <w:sz w:val="24"/>
          <w:lang w:val="en-US" w:eastAsia="zh-CN"/>
        </w:rPr>
        <w:t>4</w:t>
      </w:r>
      <w:r>
        <w:rPr>
          <w:rFonts w:hint="eastAsia" w:ascii="Arial" w:hAnsi="Arial" w:eastAsia="黑体" w:cs="Arial"/>
          <w:bCs/>
          <w:color w:val="auto"/>
          <w:sz w:val="24"/>
        </w:rPr>
        <w:t>.3培训</w:t>
      </w:r>
      <w:bookmarkEnd w:id="22"/>
      <w:bookmarkEnd w:id="23"/>
      <w:bookmarkEnd w:id="24"/>
      <w:bookmarkEnd w:id="25"/>
      <w:bookmarkEnd w:id="26"/>
    </w:p>
    <w:p>
      <w:pPr>
        <w:spacing w:line="360" w:lineRule="auto"/>
        <w:ind w:firstLine="480" w:firstLineChars="200"/>
        <w:rPr>
          <w:rFonts w:ascii="宋体" w:hAnsi="宋体" w:cs="Arial"/>
          <w:color w:val="auto"/>
          <w:sz w:val="24"/>
        </w:rPr>
      </w:pPr>
      <w:r>
        <w:rPr>
          <w:rFonts w:hint="eastAsia" w:ascii="宋体" w:hAnsi="宋体" w:cs="Arial"/>
          <w:color w:val="auto"/>
          <w:sz w:val="24"/>
        </w:rPr>
        <w:t>调试完成后，乙方工程师将为用户对所提供的系统的操作和维修进行培训。用户有责任保证在培训期间的人员到位。培训计划和内容由乙方负责，培训的人数由双方商定</w:t>
      </w:r>
    </w:p>
    <w:p>
      <w:pPr>
        <w:keepNext/>
        <w:spacing w:before="312" w:beforeLines="100" w:after="156" w:afterLines="50"/>
        <w:jc w:val="left"/>
        <w:outlineLvl w:val="1"/>
        <w:rPr>
          <w:rFonts w:ascii="Arial" w:hAnsi="Arial" w:eastAsia="黑体" w:cs="Arial"/>
          <w:bCs/>
          <w:color w:val="auto"/>
          <w:sz w:val="24"/>
        </w:rPr>
      </w:pPr>
      <w:bookmarkStart w:id="27" w:name="_Toc287280879"/>
      <w:bookmarkStart w:id="28" w:name="_Toc224729659"/>
      <w:bookmarkStart w:id="29" w:name="_Toc462415864"/>
      <w:bookmarkStart w:id="30" w:name="_Toc241660049"/>
      <w:bookmarkStart w:id="31" w:name="_Toc463657511"/>
      <w:r>
        <w:rPr>
          <w:rFonts w:hint="eastAsia" w:ascii="Arial" w:hAnsi="Arial" w:eastAsia="黑体" w:cs="Arial"/>
          <w:bCs/>
          <w:color w:val="auto"/>
          <w:sz w:val="24"/>
          <w:lang w:val="en-US" w:eastAsia="zh-CN"/>
        </w:rPr>
        <w:t>4</w:t>
      </w:r>
      <w:r>
        <w:rPr>
          <w:rFonts w:hint="eastAsia" w:ascii="Arial" w:hAnsi="Arial" w:eastAsia="黑体" w:cs="Arial"/>
          <w:bCs/>
          <w:color w:val="auto"/>
          <w:sz w:val="24"/>
        </w:rPr>
        <w:t>.4售后服务</w:t>
      </w:r>
      <w:bookmarkEnd w:id="27"/>
      <w:bookmarkEnd w:id="28"/>
      <w:bookmarkEnd w:id="29"/>
      <w:bookmarkEnd w:id="30"/>
      <w:bookmarkEnd w:id="31"/>
    </w:p>
    <w:p>
      <w:pPr>
        <w:spacing w:line="360" w:lineRule="auto"/>
        <w:ind w:firstLine="480" w:firstLineChars="200"/>
        <w:rPr>
          <w:rFonts w:ascii="宋体" w:hAnsi="宋体" w:cs="Arial"/>
          <w:color w:val="auto"/>
          <w:sz w:val="24"/>
        </w:rPr>
      </w:pPr>
      <w:r>
        <w:rPr>
          <w:rFonts w:hint="eastAsia" w:ascii="宋体" w:hAnsi="宋体" w:cs="Arial"/>
          <w:color w:val="auto"/>
          <w:sz w:val="24"/>
        </w:rPr>
        <w:t>质保期内，如甲方有必要请乙方人员到现场服务时，乙方将积极响应，在接到通知后</w:t>
      </w:r>
      <w:r>
        <w:rPr>
          <w:rFonts w:hint="eastAsia" w:cs="Arial"/>
          <w:color w:val="auto"/>
          <w:sz w:val="24"/>
        </w:rPr>
        <w:t>省内12小时内赶到工作现场，省外24小时内赶到工作现场</w:t>
      </w:r>
      <w:r>
        <w:rPr>
          <w:rFonts w:hint="eastAsia" w:ascii="宋体" w:hAnsi="宋体" w:cs="Arial"/>
          <w:color w:val="auto"/>
          <w:sz w:val="24"/>
        </w:rPr>
        <w:t>，帮助用户及时处理运行中出现的问题，保证设备长期稳定地运行。</w:t>
      </w:r>
    </w:p>
    <w:p>
      <w:pPr>
        <w:pStyle w:val="3"/>
        <w:keepLines w:val="0"/>
        <w:widowControl/>
        <w:tabs>
          <w:tab w:val="left" w:pos="420"/>
        </w:tabs>
        <w:spacing w:before="0" w:line="240" w:lineRule="auto"/>
        <w:ind w:left="0" w:leftChars="0" w:firstLine="0" w:firstLineChars="0"/>
        <w:jc w:val="both"/>
        <w:rPr>
          <w:rFonts w:ascii="黑体" w:hAnsi="宋体" w:cs="Arial"/>
          <w:b w:val="0"/>
          <w:color w:val="auto"/>
          <w:sz w:val="28"/>
          <w:szCs w:val="28"/>
        </w:rPr>
      </w:pPr>
      <w:bookmarkStart w:id="32" w:name="_Toc464230168"/>
      <w:bookmarkStart w:id="33" w:name="_Toc287280883"/>
      <w:bookmarkStart w:id="34" w:name="_Toc462415868"/>
      <w:bookmarkStart w:id="35" w:name="_Toc187483831"/>
      <w:bookmarkStart w:id="36" w:name="_Toc187231808"/>
      <w:bookmarkStart w:id="37" w:name="_Toc187480646"/>
      <w:bookmarkStart w:id="38" w:name="_Toc224457631"/>
      <w:bookmarkStart w:id="39" w:name="_Toc463657515"/>
      <w:r>
        <w:rPr>
          <w:rFonts w:hint="eastAsia" w:ascii="黑体" w:hAnsi="宋体" w:eastAsia="宋体" w:cs="Arial"/>
          <w:b w:val="0"/>
          <w:color w:val="auto"/>
          <w:sz w:val="28"/>
          <w:szCs w:val="28"/>
          <w:lang w:val="en-US" w:eastAsia="zh-CN"/>
        </w:rPr>
        <w:t>5</w:t>
      </w:r>
      <w:r>
        <w:rPr>
          <w:rFonts w:hint="eastAsia" w:ascii="黑体" w:hAnsi="宋体" w:cs="Arial"/>
          <w:b w:val="0"/>
          <w:color w:val="auto"/>
          <w:sz w:val="28"/>
          <w:szCs w:val="28"/>
        </w:rPr>
        <w:t>.</w:t>
      </w:r>
      <w:r>
        <w:rPr>
          <w:rFonts w:ascii="黑体" w:hAnsi="宋体" w:cs="Arial"/>
          <w:b w:val="0"/>
          <w:color w:val="auto"/>
          <w:sz w:val="28"/>
          <w:szCs w:val="28"/>
        </w:rPr>
        <w:t>质量保证</w:t>
      </w:r>
      <w:bookmarkEnd w:id="32"/>
      <w:bookmarkEnd w:id="33"/>
      <w:bookmarkEnd w:id="34"/>
      <w:bookmarkEnd w:id="35"/>
      <w:bookmarkEnd w:id="36"/>
      <w:bookmarkEnd w:id="37"/>
      <w:bookmarkEnd w:id="38"/>
      <w:bookmarkEnd w:id="39"/>
    </w:p>
    <w:p>
      <w:pPr>
        <w:keepNext/>
        <w:spacing w:before="312" w:beforeLines="100" w:after="156" w:afterLines="50"/>
        <w:jc w:val="left"/>
        <w:outlineLvl w:val="1"/>
        <w:rPr>
          <w:rFonts w:ascii="Arial" w:hAnsi="Arial" w:eastAsia="黑体" w:cs="Arial"/>
          <w:bCs/>
          <w:color w:val="auto"/>
          <w:sz w:val="24"/>
        </w:rPr>
      </w:pPr>
      <w:bookmarkStart w:id="40" w:name="_Toc287280886"/>
      <w:bookmarkStart w:id="41" w:name="_Toc464221014"/>
      <w:bookmarkStart w:id="42" w:name="_Toc463657518"/>
      <w:bookmarkStart w:id="43" w:name="_Toc462415871"/>
      <w:r>
        <w:rPr>
          <w:rFonts w:hint="eastAsia" w:ascii="Arial" w:hAnsi="Arial" w:eastAsia="黑体" w:cs="Arial"/>
          <w:bCs/>
          <w:color w:val="auto"/>
          <w:sz w:val="24"/>
          <w:lang w:val="en-US" w:eastAsia="zh-CN"/>
        </w:rPr>
        <w:t>5.1</w:t>
      </w:r>
      <w:r>
        <w:rPr>
          <w:rFonts w:ascii="Arial" w:hAnsi="Arial" w:eastAsia="黑体" w:cs="Arial"/>
          <w:bCs/>
          <w:color w:val="auto"/>
          <w:sz w:val="24"/>
        </w:rPr>
        <w:t>质保期</w:t>
      </w:r>
      <w:bookmarkEnd w:id="40"/>
      <w:bookmarkEnd w:id="41"/>
      <w:bookmarkEnd w:id="42"/>
      <w:bookmarkEnd w:id="43"/>
    </w:p>
    <w:p>
      <w:pPr>
        <w:spacing w:line="360" w:lineRule="auto"/>
        <w:ind w:firstLine="480" w:firstLineChars="200"/>
        <w:rPr>
          <w:rFonts w:ascii="宋体" w:hAnsi="宋体" w:cs="Arial"/>
          <w:color w:val="auto"/>
          <w:sz w:val="24"/>
        </w:rPr>
      </w:pPr>
      <w:r>
        <w:rPr>
          <w:rFonts w:hint="eastAsia" w:ascii="宋体" w:hAnsi="宋体" w:cs="Arial"/>
          <w:color w:val="auto"/>
          <w:sz w:val="24"/>
        </w:rPr>
        <w:t>设备调试</w:t>
      </w:r>
      <w:r>
        <w:rPr>
          <w:rFonts w:ascii="宋体" w:hAnsi="宋体" w:cs="Arial"/>
          <w:color w:val="auto"/>
          <w:sz w:val="24"/>
        </w:rPr>
        <w:t>验收合格后的</w:t>
      </w:r>
      <w:r>
        <w:rPr>
          <w:rFonts w:cs="Arial"/>
          <w:color w:val="auto"/>
          <w:sz w:val="24"/>
        </w:rPr>
        <w:t>1</w:t>
      </w:r>
      <w:r>
        <w:rPr>
          <w:rFonts w:ascii="宋体" w:hAnsi="宋体" w:cs="Arial"/>
          <w:color w:val="auto"/>
          <w:sz w:val="24"/>
        </w:rPr>
        <w:t>年。</w:t>
      </w:r>
    </w:p>
    <w:p>
      <w:pPr>
        <w:keepNext/>
        <w:spacing w:before="312" w:beforeLines="100" w:after="156" w:afterLines="50"/>
        <w:jc w:val="left"/>
        <w:outlineLvl w:val="1"/>
        <w:rPr>
          <w:rFonts w:ascii="Arial" w:hAnsi="Arial" w:eastAsia="黑体" w:cs="Arial"/>
          <w:bCs/>
          <w:color w:val="auto"/>
          <w:sz w:val="24"/>
        </w:rPr>
      </w:pPr>
      <w:bookmarkStart w:id="44" w:name="_Toc287280887"/>
      <w:bookmarkStart w:id="45" w:name="_Toc462415872"/>
      <w:bookmarkStart w:id="46" w:name="_Toc464221015"/>
      <w:bookmarkStart w:id="47" w:name="_Toc463657519"/>
      <w:r>
        <w:rPr>
          <w:rFonts w:hint="eastAsia"/>
          <w:color w:val="auto"/>
          <w:sz w:val="24"/>
        </w:rPr>
        <w:t>★</w:t>
      </w:r>
      <w:r>
        <w:rPr>
          <w:rFonts w:hint="eastAsia" w:ascii="Arial" w:hAnsi="Arial" w:eastAsia="黑体" w:cs="Arial"/>
          <w:bCs/>
          <w:color w:val="auto"/>
          <w:sz w:val="24"/>
          <w:lang w:val="en-US" w:eastAsia="zh-CN"/>
        </w:rPr>
        <w:t>5.2</w:t>
      </w:r>
      <w:r>
        <w:rPr>
          <w:rFonts w:ascii="Arial" w:hAnsi="Arial" w:eastAsia="黑体" w:cs="Arial"/>
          <w:bCs/>
          <w:color w:val="auto"/>
          <w:sz w:val="24"/>
        </w:rPr>
        <w:t>部件性能保证</w:t>
      </w:r>
      <w:bookmarkEnd w:id="44"/>
      <w:bookmarkEnd w:id="45"/>
      <w:bookmarkEnd w:id="46"/>
      <w:bookmarkEnd w:id="47"/>
    </w:p>
    <w:p>
      <w:pPr>
        <w:numPr>
          <w:ilvl w:val="0"/>
          <w:numId w:val="3"/>
        </w:numPr>
        <w:spacing w:line="360" w:lineRule="auto"/>
        <w:ind w:left="845" w:leftChars="0" w:hanging="425" w:firstLineChars="0"/>
        <w:jc w:val="left"/>
        <w:rPr>
          <w:rFonts w:ascii="宋体" w:hAnsi="宋体" w:cs="宋体"/>
          <w:sz w:val="24"/>
        </w:rPr>
      </w:pPr>
      <w:bookmarkStart w:id="48" w:name="_Toc462415873"/>
      <w:bookmarkStart w:id="49" w:name="_Toc287280888"/>
      <w:bookmarkStart w:id="50" w:name="_Toc464221016"/>
      <w:bookmarkStart w:id="51" w:name="_Toc463657520"/>
      <w:r>
        <w:rPr>
          <w:rFonts w:ascii="宋体" w:hAnsi="宋体" w:cs="宋体"/>
          <w:sz w:val="24"/>
        </w:rPr>
        <w:t>可编程控制器：</w:t>
      </w:r>
      <w:r>
        <w:rPr>
          <w:rFonts w:hint="eastAsia" w:ascii="宋体" w:hAnsi="宋体" w:cs="宋体"/>
          <w:sz w:val="24"/>
        </w:rPr>
        <w:t>汇川</w:t>
      </w:r>
      <w:r>
        <w:rPr>
          <w:rFonts w:ascii="宋体" w:hAnsi="宋体" w:cs="宋体"/>
          <w:sz w:val="24"/>
        </w:rPr>
        <w:t xml:space="preserve">及同等进口一线品牌；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伺服电机：</w:t>
      </w:r>
      <w:r>
        <w:rPr>
          <w:rFonts w:hint="eastAsia" w:ascii="宋体" w:hAnsi="宋体" w:cs="宋体"/>
          <w:sz w:val="24"/>
        </w:rPr>
        <w:t>汇川</w:t>
      </w:r>
      <w:r>
        <w:rPr>
          <w:rFonts w:ascii="宋体" w:hAnsi="宋体" w:cs="宋体"/>
          <w:sz w:val="24"/>
        </w:rPr>
        <w:t xml:space="preserve">及同等品牌；    </w:t>
      </w:r>
    </w:p>
    <w:p>
      <w:pPr>
        <w:numPr>
          <w:ilvl w:val="0"/>
          <w:numId w:val="3"/>
        </w:numPr>
        <w:spacing w:line="360" w:lineRule="auto"/>
        <w:ind w:left="845" w:leftChars="0" w:hanging="425" w:firstLineChars="0"/>
        <w:jc w:val="left"/>
        <w:rPr>
          <w:rFonts w:ascii="宋体" w:hAnsi="宋体" w:cs="宋体"/>
          <w:sz w:val="24"/>
        </w:rPr>
      </w:pPr>
      <w:r>
        <w:rPr>
          <w:rFonts w:hint="eastAsia" w:ascii="宋体" w:hAnsi="宋体" w:cs="宋体"/>
          <w:sz w:val="24"/>
        </w:rPr>
        <w:t>减速电机品牌：精研、晟邦、新宝、恒星、利明等国内知名品牌</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 xml:space="preserve">传感器：邦纳、欧姆龙、西克、光洋、奥托尼克及同等进口品牌；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 xml:space="preserve">气缸及电磁阀：费斯托、CKD、SMC 及同等进口品牌；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 xml:space="preserve">小型断路器、继电器、接触器等低压元器件：施耐德、西门子、穆勒及同等品牌；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 xml:space="preserve">普通轴承：哈轴、洛轴、瓦轴及同等品牌；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触摸屏：威纶通</w:t>
      </w:r>
      <w:r>
        <w:rPr>
          <w:rFonts w:hint="eastAsia" w:ascii="宋体" w:hAnsi="宋体" w:cs="宋体"/>
          <w:sz w:val="24"/>
        </w:rPr>
        <w:t>、汇川</w:t>
      </w:r>
      <w:r>
        <w:rPr>
          <w:rFonts w:ascii="宋体" w:hAnsi="宋体" w:cs="宋体"/>
          <w:sz w:val="24"/>
        </w:rPr>
        <w:t>及同等品牌；</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变频器：</w:t>
      </w:r>
      <w:r>
        <w:rPr>
          <w:rFonts w:hint="eastAsia" w:ascii="宋体" w:hAnsi="宋体" w:cs="宋体"/>
          <w:sz w:val="24"/>
        </w:rPr>
        <w:t>汇川</w:t>
      </w:r>
      <w:r>
        <w:rPr>
          <w:rFonts w:ascii="宋体" w:hAnsi="宋体" w:cs="宋体"/>
          <w:sz w:val="24"/>
        </w:rPr>
        <w:t>及同等品牌；</w:t>
      </w:r>
    </w:p>
    <w:p>
      <w:pPr>
        <w:keepNext/>
        <w:spacing w:before="312" w:beforeLines="100" w:after="156" w:afterLines="50"/>
        <w:jc w:val="left"/>
        <w:outlineLvl w:val="1"/>
        <w:rPr>
          <w:rFonts w:ascii="Arial" w:hAnsi="Arial" w:eastAsia="黑体" w:cs="Arial"/>
          <w:bCs/>
          <w:color w:val="auto"/>
          <w:sz w:val="24"/>
        </w:rPr>
      </w:pPr>
      <w:r>
        <w:rPr>
          <w:rFonts w:hint="eastAsia" w:ascii="Arial" w:hAnsi="Arial" w:eastAsia="黑体" w:cs="Arial"/>
          <w:bCs/>
          <w:color w:val="auto"/>
          <w:sz w:val="24"/>
        </w:rPr>
        <w:t>.</w:t>
      </w:r>
      <w:r>
        <w:rPr>
          <w:rFonts w:hint="eastAsia" w:ascii="Arial" w:hAnsi="Arial" w:eastAsia="黑体" w:cs="Arial"/>
          <w:bCs/>
          <w:color w:val="auto"/>
          <w:sz w:val="24"/>
          <w:lang w:val="en-US" w:eastAsia="zh-CN"/>
        </w:rPr>
        <w:t>5.3</w:t>
      </w:r>
      <w:r>
        <w:rPr>
          <w:rFonts w:ascii="Arial" w:hAnsi="Arial" w:eastAsia="黑体" w:cs="Arial"/>
          <w:bCs/>
          <w:color w:val="auto"/>
          <w:sz w:val="24"/>
        </w:rPr>
        <w:t>质量保证</w:t>
      </w:r>
      <w:bookmarkEnd w:id="48"/>
      <w:bookmarkEnd w:id="49"/>
      <w:bookmarkEnd w:id="50"/>
      <w:bookmarkEnd w:id="51"/>
    </w:p>
    <w:p>
      <w:pPr>
        <w:spacing w:line="360" w:lineRule="auto"/>
        <w:ind w:left="0" w:leftChars="0" w:firstLine="480" w:firstLineChars="200"/>
        <w:rPr>
          <w:rFonts w:ascii="宋体" w:hAnsi="宋体" w:cs="Arial"/>
          <w:color w:val="auto"/>
          <w:sz w:val="24"/>
        </w:rPr>
      </w:pPr>
      <w:r>
        <w:rPr>
          <w:rFonts w:hint="eastAsia" w:ascii="宋体" w:hAnsi="宋体" w:cs="Arial"/>
          <w:color w:val="auto"/>
          <w:sz w:val="24"/>
        </w:rPr>
        <w:t>1）</w:t>
      </w:r>
      <w:r>
        <w:rPr>
          <w:rFonts w:ascii="宋体" w:hAnsi="宋体" w:cs="Arial"/>
          <w:color w:val="auto"/>
          <w:sz w:val="24"/>
        </w:rPr>
        <w:t>系统主要设备及部件均按图纸及技术文件要求进行功能检查和试验；</w:t>
      </w:r>
    </w:p>
    <w:p>
      <w:pPr>
        <w:spacing w:line="360" w:lineRule="auto"/>
        <w:ind w:left="0" w:leftChars="0" w:firstLine="480" w:firstLineChars="200"/>
        <w:rPr>
          <w:rFonts w:ascii="宋体" w:hAnsi="宋体" w:cs="Arial"/>
          <w:color w:val="auto"/>
          <w:sz w:val="24"/>
        </w:rPr>
      </w:pPr>
      <w:r>
        <w:rPr>
          <w:rFonts w:ascii="宋体" w:hAnsi="宋体" w:cs="Arial"/>
          <w:color w:val="auto"/>
          <w:sz w:val="24"/>
        </w:rPr>
        <w:t>2</w:t>
      </w:r>
      <w:r>
        <w:rPr>
          <w:rFonts w:hint="eastAsia" w:ascii="宋体" w:hAnsi="宋体" w:cs="Arial"/>
          <w:color w:val="auto"/>
          <w:sz w:val="24"/>
        </w:rPr>
        <w:t>）</w:t>
      </w:r>
      <w:r>
        <w:rPr>
          <w:rFonts w:ascii="宋体" w:hAnsi="宋体" w:cs="Arial"/>
          <w:color w:val="auto"/>
          <w:sz w:val="24"/>
        </w:rPr>
        <w:t>主要零部件的材料，将有材料质量保证书或试验报告；</w:t>
      </w:r>
    </w:p>
    <w:p>
      <w:pPr>
        <w:spacing w:line="360" w:lineRule="auto"/>
        <w:ind w:left="0" w:leftChars="0" w:firstLine="480" w:firstLineChars="200"/>
        <w:rPr>
          <w:rFonts w:ascii="宋体" w:hAnsi="宋体" w:cs="Arial"/>
          <w:color w:val="auto"/>
          <w:sz w:val="24"/>
        </w:rPr>
      </w:pPr>
      <w:r>
        <w:rPr>
          <w:rFonts w:ascii="宋体" w:hAnsi="宋体" w:cs="Arial"/>
          <w:color w:val="auto"/>
          <w:sz w:val="24"/>
        </w:rPr>
        <w:t>3</w:t>
      </w:r>
      <w:r>
        <w:rPr>
          <w:rFonts w:hint="eastAsia" w:ascii="宋体" w:hAnsi="宋体" w:cs="Arial"/>
          <w:color w:val="auto"/>
          <w:sz w:val="24"/>
        </w:rPr>
        <w:t>）供</w:t>
      </w:r>
      <w:r>
        <w:rPr>
          <w:rFonts w:ascii="宋体" w:hAnsi="宋体" w:cs="Arial"/>
          <w:color w:val="auto"/>
          <w:sz w:val="24"/>
        </w:rPr>
        <w:t>方将严格遵照</w:t>
      </w:r>
      <w:r>
        <w:rPr>
          <w:rFonts w:cs="Arial"/>
          <w:color w:val="auto"/>
          <w:sz w:val="24"/>
        </w:rPr>
        <w:t>GB</w:t>
      </w:r>
      <w:r>
        <w:rPr>
          <w:rFonts w:ascii="宋体" w:hAnsi="宋体" w:cs="Arial"/>
          <w:color w:val="auto"/>
          <w:sz w:val="24"/>
        </w:rPr>
        <w:t>/</w:t>
      </w:r>
      <w:r>
        <w:rPr>
          <w:rFonts w:cs="Arial"/>
          <w:color w:val="auto"/>
          <w:sz w:val="24"/>
        </w:rPr>
        <w:t>T</w:t>
      </w:r>
      <w:r>
        <w:rPr>
          <w:rFonts w:ascii="宋体" w:hAnsi="宋体" w:cs="Arial"/>
          <w:color w:val="auto"/>
          <w:sz w:val="24"/>
        </w:rPr>
        <w:t>－</w:t>
      </w:r>
      <w:r>
        <w:rPr>
          <w:rFonts w:cs="Arial"/>
          <w:color w:val="auto"/>
          <w:sz w:val="24"/>
        </w:rPr>
        <w:t>19000</w:t>
      </w:r>
      <w:r>
        <w:rPr>
          <w:rFonts w:ascii="宋体" w:hAnsi="宋体" w:cs="Arial"/>
          <w:color w:val="auto"/>
          <w:sz w:val="24"/>
        </w:rPr>
        <w:t>设计、开发、生产、安装和服务的质量保证模式及</w:t>
      </w:r>
      <w:r>
        <w:rPr>
          <w:rFonts w:cs="Arial"/>
          <w:color w:val="auto"/>
          <w:sz w:val="24"/>
        </w:rPr>
        <w:t>ISO9000</w:t>
      </w:r>
      <w:r>
        <w:rPr>
          <w:rFonts w:ascii="宋体" w:hAnsi="宋体" w:cs="Arial"/>
          <w:color w:val="auto"/>
          <w:sz w:val="24"/>
        </w:rPr>
        <w:t>系列国际质量认证体系；</w:t>
      </w:r>
    </w:p>
    <w:p>
      <w:pPr>
        <w:spacing w:line="360" w:lineRule="auto"/>
        <w:ind w:left="0" w:leftChars="0" w:firstLine="480" w:firstLineChars="200"/>
        <w:rPr>
          <w:rFonts w:ascii="宋体" w:hAnsi="宋体" w:cs="Arial"/>
          <w:color w:val="auto"/>
          <w:sz w:val="24"/>
        </w:rPr>
      </w:pPr>
      <w:r>
        <w:rPr>
          <w:rFonts w:ascii="宋体" w:hAnsi="宋体" w:cs="Arial"/>
          <w:color w:val="auto"/>
          <w:sz w:val="24"/>
        </w:rPr>
        <w:t>4</w:t>
      </w:r>
      <w:r>
        <w:rPr>
          <w:rFonts w:hint="eastAsia" w:ascii="宋体" w:hAnsi="宋体" w:cs="Arial"/>
          <w:color w:val="auto"/>
          <w:sz w:val="24"/>
        </w:rPr>
        <w:t>）供</w:t>
      </w:r>
      <w:r>
        <w:rPr>
          <w:rFonts w:ascii="宋体" w:hAnsi="宋体" w:cs="Arial"/>
          <w:color w:val="auto"/>
          <w:sz w:val="24"/>
        </w:rPr>
        <w:t>方将提出施工现场安装注意事项及安装质量保证方法；</w:t>
      </w:r>
    </w:p>
    <w:p>
      <w:pPr>
        <w:keepNext/>
        <w:spacing w:before="312" w:beforeLines="100" w:after="156" w:afterLines="50"/>
        <w:jc w:val="left"/>
        <w:outlineLvl w:val="1"/>
        <w:rPr>
          <w:rFonts w:ascii="Arial" w:hAnsi="Arial" w:eastAsia="黑体" w:cs="Arial"/>
          <w:bCs/>
          <w:color w:val="auto"/>
          <w:sz w:val="24"/>
        </w:rPr>
      </w:pPr>
      <w:bookmarkStart w:id="52" w:name="_Toc286757661"/>
      <w:bookmarkStart w:id="53" w:name="_Toc287280890"/>
      <w:bookmarkStart w:id="54" w:name="_Toc463657522"/>
      <w:bookmarkStart w:id="55" w:name="_Toc464221018"/>
      <w:bookmarkStart w:id="56" w:name="_Toc286416617"/>
      <w:bookmarkStart w:id="57" w:name="_Toc462415875"/>
      <w:bookmarkStart w:id="58" w:name="_Toc286667851"/>
      <w:bookmarkStart w:id="59" w:name="_Toc286758649"/>
      <w:r>
        <w:rPr>
          <w:rFonts w:hint="eastAsia" w:ascii="Arial" w:hAnsi="Arial" w:eastAsia="黑体" w:cs="Arial"/>
          <w:bCs/>
          <w:color w:val="auto"/>
          <w:sz w:val="24"/>
          <w:lang w:val="en-US" w:eastAsia="zh-CN"/>
        </w:rPr>
        <w:t>5.4</w:t>
      </w:r>
      <w:r>
        <w:rPr>
          <w:rFonts w:hint="eastAsia" w:ascii="Arial" w:hAnsi="Arial" w:eastAsia="黑体" w:cs="Arial"/>
          <w:bCs/>
          <w:color w:val="auto"/>
          <w:sz w:val="24"/>
        </w:rPr>
        <w:t>货到现场验收</w:t>
      </w:r>
      <w:bookmarkEnd w:id="52"/>
      <w:bookmarkEnd w:id="53"/>
      <w:bookmarkEnd w:id="54"/>
      <w:bookmarkEnd w:id="55"/>
      <w:bookmarkEnd w:id="56"/>
      <w:bookmarkEnd w:id="57"/>
      <w:bookmarkEnd w:id="58"/>
      <w:bookmarkEnd w:id="59"/>
    </w:p>
    <w:p>
      <w:pPr>
        <w:spacing w:line="360" w:lineRule="auto"/>
        <w:ind w:firstLine="480" w:firstLineChars="200"/>
        <w:rPr>
          <w:rFonts w:ascii="宋体" w:hAnsi="宋体"/>
          <w:color w:val="auto"/>
          <w:sz w:val="24"/>
        </w:rPr>
      </w:pPr>
      <w:r>
        <w:rPr>
          <w:rFonts w:hint="eastAsia" w:ascii="宋体" w:hAnsi="宋体"/>
          <w:color w:val="auto"/>
          <w:sz w:val="24"/>
        </w:rPr>
        <w:t xml:space="preserve">验收地点在甲方现场，双方参加，按照发货清单核对数量及检验设备外观损坏和腐蚀情况，出具验收报告并由双方签字确认。 </w:t>
      </w:r>
    </w:p>
    <w:p>
      <w:pPr>
        <w:keepNext/>
        <w:spacing w:before="312" w:beforeLines="100" w:after="156" w:afterLines="50"/>
        <w:jc w:val="left"/>
        <w:outlineLvl w:val="1"/>
        <w:rPr>
          <w:rFonts w:ascii="Arial" w:hAnsi="Arial" w:eastAsia="黑体" w:cs="Arial"/>
          <w:bCs/>
          <w:color w:val="auto"/>
          <w:sz w:val="24"/>
        </w:rPr>
      </w:pPr>
      <w:bookmarkStart w:id="60" w:name="_Toc286416618"/>
      <w:bookmarkStart w:id="61" w:name="_Toc286757662"/>
      <w:bookmarkStart w:id="62" w:name="_Toc287280891"/>
      <w:bookmarkStart w:id="63" w:name="_Toc286667852"/>
      <w:bookmarkStart w:id="64" w:name="_Toc286758650"/>
      <w:bookmarkStart w:id="65" w:name="_Toc462415876"/>
      <w:bookmarkStart w:id="66" w:name="_Toc464221019"/>
      <w:bookmarkStart w:id="67" w:name="_Toc463657523"/>
      <w:r>
        <w:rPr>
          <w:rFonts w:hint="eastAsia" w:ascii="Arial" w:hAnsi="Arial" w:eastAsia="黑体" w:cs="Arial"/>
          <w:bCs/>
          <w:color w:val="auto"/>
          <w:sz w:val="24"/>
          <w:lang w:val="en-US" w:eastAsia="zh-CN"/>
        </w:rPr>
        <w:t>5.5</w:t>
      </w:r>
      <w:r>
        <w:rPr>
          <w:rFonts w:hint="eastAsia" w:ascii="Arial" w:hAnsi="Arial" w:eastAsia="黑体" w:cs="Arial"/>
          <w:bCs/>
          <w:color w:val="auto"/>
          <w:sz w:val="24"/>
        </w:rPr>
        <w:t>设备性能考核及验收</w:t>
      </w:r>
      <w:bookmarkEnd w:id="60"/>
      <w:bookmarkEnd w:id="61"/>
      <w:bookmarkEnd w:id="62"/>
      <w:bookmarkEnd w:id="63"/>
      <w:bookmarkEnd w:id="64"/>
      <w:bookmarkEnd w:id="65"/>
      <w:bookmarkEnd w:id="66"/>
      <w:bookmarkEnd w:id="67"/>
    </w:p>
    <w:p>
      <w:pPr>
        <w:spacing w:line="360" w:lineRule="auto"/>
        <w:ind w:firstLine="480" w:firstLineChars="200"/>
        <w:rPr>
          <w:rFonts w:ascii="宋体" w:hAnsi="宋体"/>
          <w:color w:val="auto"/>
          <w:sz w:val="24"/>
        </w:rPr>
      </w:pPr>
      <w:r>
        <w:rPr>
          <w:rFonts w:hint="eastAsia" w:ascii="宋体" w:hAnsi="宋体"/>
          <w:color w:val="auto"/>
          <w:sz w:val="24"/>
        </w:rPr>
        <w:t>性能验收试验应在系统全部设备运转稳定，达到额定出力和精度要求连续稳定运行</w:t>
      </w:r>
      <w:r>
        <w:rPr>
          <w:rFonts w:ascii="宋体" w:hAnsi="宋体"/>
          <w:color w:val="auto"/>
          <w:sz w:val="24"/>
        </w:rPr>
        <w:t>,</w:t>
      </w:r>
      <w:r>
        <w:rPr>
          <w:rFonts w:hint="eastAsia" w:ascii="宋体" w:hAnsi="宋体"/>
          <w:color w:val="auto"/>
          <w:sz w:val="24"/>
        </w:rPr>
        <w:t>这项验收试验由甲方负责，乙方参加。性能验收的地点为甲方现场。性能验收试验的内容为技术协议书中规定的系统各项性能保证值指标。</w:t>
      </w:r>
    </w:p>
    <w:p>
      <w:pPr>
        <w:spacing w:line="360" w:lineRule="auto"/>
        <w:ind w:firstLine="480" w:firstLineChars="200"/>
        <w:rPr>
          <w:rFonts w:ascii="宋体" w:hAnsi="宋体"/>
          <w:color w:val="auto"/>
          <w:sz w:val="24"/>
        </w:rPr>
      </w:pPr>
      <w:r>
        <w:rPr>
          <w:rFonts w:hint="eastAsia" w:ascii="宋体" w:hAnsi="宋体"/>
          <w:color w:val="auto"/>
          <w:sz w:val="24"/>
        </w:rPr>
        <w:t>性能验收试验完毕，每套合同设备达到技术协议所规定的各项性能保证值指标后，甲方应在</w:t>
      </w:r>
      <w:r>
        <w:rPr>
          <w:color w:val="auto"/>
          <w:sz w:val="24"/>
        </w:rPr>
        <w:t>10</w:t>
      </w:r>
      <w:r>
        <w:rPr>
          <w:rFonts w:hint="eastAsia" w:ascii="宋体" w:hAnsi="宋体"/>
          <w:color w:val="auto"/>
          <w:sz w:val="24"/>
        </w:rPr>
        <w:t>天内签署由乙方会签的本合同设备初步验收证书一式二份，双方各执一份。</w:t>
      </w:r>
    </w:p>
    <w:p>
      <w:pPr>
        <w:spacing w:line="360" w:lineRule="auto"/>
        <w:rPr>
          <w:rFonts w:ascii="宋体" w:hAnsi="宋体"/>
          <w:color w:val="auto"/>
          <w:sz w:val="24"/>
        </w:rPr>
      </w:pPr>
      <w:r>
        <w:rPr>
          <w:rFonts w:hint="eastAsia" w:ascii="宋体" w:hAnsi="宋体"/>
          <w:color w:val="auto"/>
          <w:sz w:val="24"/>
        </w:rPr>
        <w:t>在不影响本合同设备安全、可靠运行的条件下，如有个别微小缺陷，乙方在双方商定的时间内免费修理上述的缺陷，甲方则可同意签署初步验收证书。</w:t>
      </w:r>
    </w:p>
    <w:p>
      <w:pPr>
        <w:spacing w:line="360" w:lineRule="auto"/>
        <w:ind w:firstLine="480" w:firstLineChars="200"/>
        <w:rPr>
          <w:color w:val="auto"/>
        </w:rPr>
      </w:pPr>
      <w:r>
        <w:rPr>
          <w:rFonts w:hint="eastAsia" w:ascii="宋体" w:hAnsi="宋体"/>
          <w:color w:val="auto"/>
          <w:sz w:val="24"/>
        </w:rPr>
        <w:t>验收证书只是证明乙方所提供的合同设备性能和参数截至出具验收证明时可以按合同要求予以接受，但不能视为乙方对合同设备中存在的可能引起合同设备损坏的潜在缺陷所应负的责任解除的证据。潜在缺陷指设备的隐患在正常情况下不能在制造过程中被发现，乙方对纠正潜在缺陷所应负的责任。</w:t>
      </w:r>
    </w:p>
    <w:p>
      <w:pPr>
        <w:pStyle w:val="3"/>
        <w:keepLines w:val="0"/>
        <w:widowControl/>
        <w:tabs>
          <w:tab w:val="left" w:pos="420"/>
        </w:tabs>
        <w:spacing w:before="0" w:line="360" w:lineRule="auto"/>
        <w:ind w:left="0" w:leftChars="0" w:firstLine="0" w:firstLineChars="0"/>
        <w:jc w:val="both"/>
        <w:rPr>
          <w:rFonts w:hint="eastAsia" w:ascii="黑体" w:hAnsi="宋体" w:cs="Arial"/>
          <w:b w:val="0"/>
          <w:color w:val="FF0000"/>
          <w:sz w:val="28"/>
          <w:szCs w:val="28"/>
        </w:rPr>
      </w:pPr>
      <w:bookmarkStart w:id="68" w:name="_Toc464230169"/>
      <w:bookmarkStart w:id="69" w:name="_Toc462415877"/>
      <w:bookmarkStart w:id="70" w:name="_Toc286758651"/>
      <w:bookmarkStart w:id="71" w:name="_Toc463657524"/>
      <w:bookmarkStart w:id="72" w:name="_Toc287280892"/>
    </w:p>
    <w:p>
      <w:pPr>
        <w:pStyle w:val="3"/>
        <w:keepLines w:val="0"/>
        <w:widowControl/>
        <w:tabs>
          <w:tab w:val="left" w:pos="420"/>
        </w:tabs>
        <w:spacing w:before="0" w:line="240" w:lineRule="auto"/>
        <w:ind w:left="0" w:leftChars="0" w:firstLine="0" w:firstLineChars="0"/>
        <w:jc w:val="both"/>
        <w:rPr>
          <w:rFonts w:ascii="黑体" w:hAnsi="宋体" w:cs="Arial"/>
          <w:b w:val="0"/>
          <w:color w:val="auto"/>
          <w:sz w:val="28"/>
          <w:szCs w:val="28"/>
        </w:rPr>
      </w:pPr>
      <w:r>
        <w:rPr>
          <w:rFonts w:hint="eastAsia" w:ascii="黑体" w:hAnsi="宋体" w:eastAsia="宋体" w:cs="Arial"/>
          <w:b w:val="0"/>
          <w:color w:val="auto"/>
          <w:sz w:val="28"/>
          <w:szCs w:val="28"/>
          <w:lang w:val="en-US" w:eastAsia="zh-CN"/>
        </w:rPr>
        <w:t>6</w:t>
      </w:r>
      <w:r>
        <w:rPr>
          <w:rFonts w:hint="eastAsia" w:ascii="黑体" w:hAnsi="宋体" w:cs="Arial"/>
          <w:b w:val="0"/>
          <w:color w:val="auto"/>
          <w:sz w:val="28"/>
          <w:szCs w:val="28"/>
        </w:rPr>
        <w:t>.供货周期</w:t>
      </w:r>
      <w:bookmarkStart w:id="73" w:name="_Toc286667853"/>
      <w:bookmarkStart w:id="74" w:name="_Toc286416619"/>
      <w:bookmarkStart w:id="75" w:name="_Toc286757663"/>
      <w:bookmarkStart w:id="76" w:name="_Toc156119069"/>
      <w:r>
        <w:rPr>
          <w:rFonts w:hint="eastAsia" w:ascii="黑体" w:hAnsi="宋体" w:cs="Arial"/>
          <w:b w:val="0"/>
          <w:color w:val="auto"/>
          <w:sz w:val="28"/>
          <w:szCs w:val="28"/>
        </w:rPr>
        <w:t>设备外观、包装、运输及储存</w:t>
      </w:r>
      <w:bookmarkEnd w:id="68"/>
      <w:bookmarkEnd w:id="69"/>
      <w:bookmarkEnd w:id="70"/>
      <w:bookmarkEnd w:id="71"/>
      <w:bookmarkEnd w:id="72"/>
      <w:bookmarkEnd w:id="73"/>
      <w:bookmarkEnd w:id="74"/>
      <w:bookmarkEnd w:id="75"/>
      <w:bookmarkEnd w:id="76"/>
    </w:p>
    <w:p>
      <w:pPr>
        <w:keepNext/>
        <w:spacing w:before="312" w:beforeLines="100" w:after="156" w:afterLines="50" w:line="240" w:lineRule="auto"/>
        <w:jc w:val="left"/>
        <w:outlineLvl w:val="1"/>
        <w:rPr>
          <w:rFonts w:ascii="Arial" w:hAnsi="Arial" w:eastAsia="黑体" w:cs="Arial"/>
          <w:bCs/>
          <w:color w:val="auto"/>
          <w:sz w:val="24"/>
        </w:rPr>
      </w:pPr>
      <w:bookmarkStart w:id="77" w:name="_Toc286416620"/>
      <w:bookmarkStart w:id="78" w:name="_Toc463657525"/>
      <w:bookmarkStart w:id="79" w:name="_Toc286757664"/>
      <w:bookmarkStart w:id="80" w:name="_Toc464221021"/>
      <w:bookmarkStart w:id="81" w:name="_Toc286667854"/>
      <w:bookmarkStart w:id="82" w:name="_Toc286758652"/>
      <w:bookmarkStart w:id="83" w:name="_Toc287280893"/>
      <w:bookmarkStart w:id="84" w:name="_Toc462415878"/>
      <w:r>
        <w:rPr>
          <w:rFonts w:hint="eastAsia" w:ascii="Arial" w:hAnsi="Arial" w:eastAsia="黑体" w:cs="Arial"/>
          <w:bCs/>
          <w:color w:val="auto"/>
          <w:sz w:val="24"/>
          <w:lang w:val="en-US" w:eastAsia="zh-CN"/>
        </w:rPr>
        <w:t>6</w:t>
      </w:r>
      <w:r>
        <w:rPr>
          <w:rFonts w:hint="eastAsia" w:ascii="Arial" w:hAnsi="Arial" w:eastAsia="黑体" w:cs="Arial"/>
          <w:bCs/>
          <w:color w:val="auto"/>
          <w:sz w:val="24"/>
        </w:rPr>
        <w:t>.1设备外观</w:t>
      </w:r>
      <w:bookmarkEnd w:id="77"/>
      <w:bookmarkEnd w:id="78"/>
      <w:bookmarkEnd w:id="79"/>
      <w:bookmarkEnd w:id="80"/>
      <w:bookmarkEnd w:id="81"/>
      <w:bookmarkEnd w:id="82"/>
      <w:bookmarkEnd w:id="83"/>
      <w:bookmarkEnd w:id="84"/>
    </w:p>
    <w:p>
      <w:pPr>
        <w:spacing w:line="360" w:lineRule="auto"/>
        <w:ind w:firstLine="480" w:firstLineChars="200"/>
        <w:rPr>
          <w:bCs/>
          <w:color w:val="auto"/>
          <w:sz w:val="24"/>
        </w:rPr>
      </w:pPr>
      <w:r>
        <w:rPr>
          <w:rFonts w:ascii="宋体" w:hAnsi="宋体"/>
          <w:color w:val="auto"/>
          <w:sz w:val="24"/>
        </w:rPr>
        <w:t>1</w:t>
      </w:r>
      <w:r>
        <w:rPr>
          <w:rFonts w:hint="eastAsia" w:ascii="宋体" w:hAnsi="宋体"/>
          <w:color w:val="auto"/>
          <w:sz w:val="24"/>
        </w:rPr>
        <w:t>）</w:t>
      </w:r>
      <w:r>
        <w:rPr>
          <w:bCs/>
          <w:color w:val="auto"/>
          <w:sz w:val="24"/>
        </w:rPr>
        <w:t>设备出厂前将完成设备除锈、油漆等各项工作，设备安装完成后，将修补破损面漆。</w:t>
      </w:r>
      <w:r>
        <w:rPr>
          <w:rFonts w:hint="eastAsia" w:ascii="宋体" w:hAnsi="宋体"/>
          <w:color w:val="auto"/>
          <w:sz w:val="24"/>
        </w:rPr>
        <w:t>泵体进行表面除锈处理后二十四小时之内完成第一遍底漆涂装，随即按工艺要求顺序进行，直到面漆涂装。防腐面漆颜色为红色。</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）气控电磁阀箱和控制柜进行表面除锈处理后二十四小时之内完成第一遍底漆涂装，随即按工艺要求顺序进行，直到面漆涂装，表面颜色为计算机灰。</w:t>
      </w:r>
    </w:p>
    <w:p>
      <w:pPr>
        <w:keepNext/>
        <w:spacing w:before="312" w:beforeLines="100" w:after="156" w:afterLines="50"/>
        <w:jc w:val="left"/>
        <w:outlineLvl w:val="1"/>
        <w:rPr>
          <w:rFonts w:ascii="Arial" w:hAnsi="Arial" w:eastAsia="黑体" w:cs="Arial"/>
          <w:bCs/>
          <w:color w:val="auto"/>
          <w:sz w:val="24"/>
        </w:rPr>
      </w:pPr>
      <w:bookmarkStart w:id="85" w:name="_Toc463657526"/>
      <w:bookmarkStart w:id="86" w:name="_Toc286757665"/>
      <w:bookmarkStart w:id="87" w:name="_Toc464221022"/>
      <w:bookmarkStart w:id="88" w:name="_Toc286667855"/>
      <w:bookmarkStart w:id="89" w:name="_Toc462415879"/>
      <w:bookmarkStart w:id="90" w:name="_Toc286758653"/>
      <w:bookmarkStart w:id="91" w:name="_Toc286416621"/>
      <w:bookmarkStart w:id="92" w:name="_Toc287280894"/>
      <w:r>
        <w:rPr>
          <w:rFonts w:hint="eastAsia" w:ascii="Arial" w:hAnsi="Arial" w:eastAsia="黑体" w:cs="Arial"/>
          <w:bCs/>
          <w:color w:val="auto"/>
          <w:sz w:val="24"/>
          <w:lang w:val="en-US" w:eastAsia="zh-CN"/>
        </w:rPr>
        <w:t>6</w:t>
      </w:r>
      <w:r>
        <w:rPr>
          <w:rFonts w:hint="eastAsia" w:ascii="Arial" w:hAnsi="Arial" w:eastAsia="黑体" w:cs="Arial"/>
          <w:bCs/>
          <w:color w:val="auto"/>
          <w:sz w:val="24"/>
        </w:rPr>
        <w:t>.2包装</w:t>
      </w:r>
      <w:bookmarkEnd w:id="85"/>
      <w:bookmarkEnd w:id="86"/>
      <w:bookmarkEnd w:id="87"/>
      <w:bookmarkEnd w:id="88"/>
      <w:bookmarkEnd w:id="89"/>
      <w:bookmarkEnd w:id="90"/>
      <w:bookmarkEnd w:id="91"/>
      <w:bookmarkEnd w:id="92"/>
    </w:p>
    <w:p>
      <w:pPr>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）乙方交付的所有货物要符合国家标准</w:t>
      </w:r>
      <w:r>
        <w:rPr>
          <w:color w:val="auto"/>
          <w:sz w:val="24"/>
        </w:rPr>
        <w:t>JB</w:t>
      </w:r>
      <w:r>
        <w:rPr>
          <w:rFonts w:ascii="宋体" w:hAnsi="宋体"/>
          <w:color w:val="auto"/>
          <w:sz w:val="24"/>
        </w:rPr>
        <w:t>/</w:t>
      </w:r>
      <w:r>
        <w:rPr>
          <w:color w:val="auto"/>
          <w:sz w:val="24"/>
        </w:rPr>
        <w:t>ZQ4286</w:t>
      </w:r>
      <w:r>
        <w:rPr>
          <w:rFonts w:hint="eastAsia" w:ascii="宋体" w:hAnsi="宋体"/>
          <w:color w:val="auto"/>
          <w:sz w:val="24"/>
        </w:rPr>
        <w:t>中关于包装、储运指示标志的规定及货物承运部门的规定，具有适合长途运输、多次搬运和装卸的坚固包装，</w:t>
      </w:r>
      <w:r>
        <w:rPr>
          <w:rFonts w:ascii="宋体" w:hAnsi="宋体"/>
          <w:color w:val="auto"/>
          <w:sz w:val="24"/>
        </w:rPr>
        <w:t>分类装箱，</w:t>
      </w:r>
      <w:r>
        <w:rPr>
          <w:rFonts w:hint="eastAsia" w:ascii="宋体" w:hAnsi="宋体"/>
          <w:color w:val="auto"/>
          <w:sz w:val="24"/>
        </w:rPr>
        <w:t>以确保合同设备安全、无损地运抵现场，且便于安装和查找。</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乙方应根据合同设备不同的形状及特性进行包装，并采取防潮、防雨、防霉、防锈、防腐蚀和防震等保护措施，对设备进行妥善的油漆，以适应长途运输条件和大量的吊装、卸货以及长期露天堆放的需要，从而防止雨雪、受潮、生锈、腐蚀、受震以及机械和化学引起的损坏，以保证货物在没有任何损坏和腐蚀的情况下安全运抵合同设备安装现场。</w:t>
      </w:r>
    </w:p>
    <w:p>
      <w:pPr>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）产品包装前，乙方负责进行检查清理，不留异物，并保证零部件齐全。</w:t>
      </w:r>
      <w:r>
        <w:rPr>
          <w:rFonts w:ascii="宋体" w:hAnsi="宋体"/>
          <w:color w:val="auto"/>
          <w:sz w:val="24"/>
        </w:rPr>
        <w:t>在装运前应将泵内的水排尽，并保持干燥。</w:t>
      </w:r>
    </w:p>
    <w:p>
      <w:pPr>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）各种材料及设备的松散零星部件应采用好的包装方式，装入尺寸适当的箱内，乙方对包装箱内和捆内的各散装部件上贴注标签，标签应以清晰的中文印刷体书写，注明在装配图中的部件号、零件号等相关内容。</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）乙方应在每件包装箱的四个侧面上，用不褪色的油漆以明显易见的中文字样印刷以下标记：</w:t>
      </w:r>
    </w:p>
    <w:p>
      <w:pPr>
        <w:numPr>
          <w:ilvl w:val="0"/>
          <w:numId w:val="4"/>
        </w:numPr>
        <w:spacing w:line="360" w:lineRule="auto"/>
        <w:rPr>
          <w:rFonts w:ascii="宋体" w:hAnsi="宋体"/>
          <w:color w:val="auto"/>
          <w:sz w:val="24"/>
        </w:rPr>
      </w:pPr>
      <w:r>
        <w:rPr>
          <w:rFonts w:hint="eastAsia" w:ascii="宋体" w:hAnsi="宋体"/>
          <w:color w:val="auto"/>
          <w:sz w:val="24"/>
        </w:rPr>
        <w:t>收货人；</w:t>
      </w:r>
    </w:p>
    <w:p>
      <w:pPr>
        <w:numPr>
          <w:ilvl w:val="0"/>
          <w:numId w:val="4"/>
        </w:numPr>
        <w:spacing w:line="360" w:lineRule="auto"/>
        <w:rPr>
          <w:rFonts w:ascii="宋体" w:hAnsi="宋体"/>
          <w:color w:val="auto"/>
          <w:sz w:val="24"/>
        </w:rPr>
      </w:pPr>
      <w:r>
        <w:rPr>
          <w:rFonts w:hint="eastAsia" w:ascii="宋体" w:hAnsi="宋体"/>
          <w:color w:val="auto"/>
          <w:sz w:val="24"/>
        </w:rPr>
        <w:t>合同号；</w:t>
      </w:r>
    </w:p>
    <w:p>
      <w:pPr>
        <w:numPr>
          <w:ilvl w:val="0"/>
          <w:numId w:val="4"/>
        </w:numPr>
        <w:spacing w:line="360" w:lineRule="auto"/>
        <w:rPr>
          <w:rFonts w:ascii="宋体" w:hAnsi="宋体"/>
          <w:color w:val="auto"/>
          <w:sz w:val="24"/>
        </w:rPr>
      </w:pPr>
      <w:r>
        <w:rPr>
          <w:rFonts w:hint="eastAsia" w:ascii="宋体" w:hAnsi="宋体"/>
          <w:color w:val="auto"/>
          <w:sz w:val="24"/>
        </w:rPr>
        <w:t>到站；</w:t>
      </w:r>
    </w:p>
    <w:p>
      <w:pPr>
        <w:numPr>
          <w:ilvl w:val="0"/>
          <w:numId w:val="4"/>
        </w:numPr>
        <w:spacing w:line="360" w:lineRule="auto"/>
        <w:rPr>
          <w:rFonts w:ascii="宋体" w:hAnsi="宋体"/>
          <w:color w:val="auto"/>
          <w:sz w:val="24"/>
        </w:rPr>
      </w:pPr>
      <w:r>
        <w:rPr>
          <w:rFonts w:hint="eastAsia" w:ascii="宋体" w:hAnsi="宋体"/>
          <w:color w:val="auto"/>
          <w:sz w:val="24"/>
        </w:rPr>
        <w:t>货物名称、品目号、箱号；</w:t>
      </w:r>
    </w:p>
    <w:p>
      <w:pPr>
        <w:numPr>
          <w:ilvl w:val="0"/>
          <w:numId w:val="4"/>
        </w:numPr>
        <w:spacing w:line="360" w:lineRule="auto"/>
        <w:rPr>
          <w:rFonts w:ascii="宋体" w:hAnsi="宋体"/>
          <w:color w:val="auto"/>
          <w:sz w:val="24"/>
        </w:rPr>
      </w:pPr>
      <w:r>
        <w:rPr>
          <w:rFonts w:hint="eastAsia" w:ascii="宋体" w:hAnsi="宋体"/>
          <w:color w:val="auto"/>
          <w:sz w:val="24"/>
        </w:rPr>
        <w:t>毛重</w:t>
      </w:r>
      <w:r>
        <w:rPr>
          <w:rFonts w:ascii="宋体" w:hAnsi="宋体"/>
          <w:color w:val="auto"/>
          <w:sz w:val="24"/>
        </w:rPr>
        <w:t>/</w:t>
      </w:r>
      <w:r>
        <w:rPr>
          <w:rFonts w:hint="eastAsia" w:ascii="宋体" w:hAnsi="宋体"/>
          <w:color w:val="auto"/>
          <w:sz w:val="24"/>
        </w:rPr>
        <w:t>净重</w:t>
      </w:r>
      <w:r>
        <w:rPr>
          <w:rFonts w:ascii="宋体" w:hAnsi="宋体"/>
          <w:color w:val="auto"/>
          <w:sz w:val="24"/>
        </w:rPr>
        <w:t>(</w:t>
      </w:r>
      <w:r>
        <w:rPr>
          <w:rFonts w:hint="eastAsia" w:ascii="宋体" w:hAnsi="宋体"/>
          <w:color w:val="auto"/>
          <w:sz w:val="24"/>
        </w:rPr>
        <w:t>公斤</w:t>
      </w:r>
      <w:r>
        <w:rPr>
          <w:rFonts w:ascii="宋体" w:hAnsi="宋体"/>
          <w:color w:val="auto"/>
          <w:sz w:val="24"/>
        </w:rPr>
        <w:t>)</w:t>
      </w:r>
      <w:r>
        <w:rPr>
          <w:rFonts w:hint="eastAsia" w:ascii="宋体" w:hAnsi="宋体"/>
          <w:color w:val="auto"/>
          <w:sz w:val="24"/>
        </w:rPr>
        <w:t>；</w:t>
      </w:r>
    </w:p>
    <w:p>
      <w:pPr>
        <w:numPr>
          <w:ilvl w:val="0"/>
          <w:numId w:val="4"/>
        </w:numPr>
        <w:spacing w:line="360" w:lineRule="auto"/>
        <w:rPr>
          <w:rFonts w:ascii="宋体" w:hAnsi="宋体"/>
          <w:color w:val="auto"/>
          <w:sz w:val="24"/>
        </w:rPr>
      </w:pPr>
      <w:r>
        <w:rPr>
          <w:rFonts w:hint="eastAsia" w:ascii="宋体" w:hAnsi="宋体"/>
          <w:color w:val="auto"/>
          <w:sz w:val="24"/>
        </w:rPr>
        <w:t>尺寸</w:t>
      </w:r>
      <w:r>
        <w:rPr>
          <w:rFonts w:ascii="宋体" w:hAnsi="宋体"/>
          <w:color w:val="auto"/>
          <w:sz w:val="24"/>
        </w:rPr>
        <w:t>(</w:t>
      </w:r>
      <w:r>
        <w:rPr>
          <w:rFonts w:hint="eastAsia" w:ascii="宋体" w:hAnsi="宋体"/>
          <w:color w:val="auto"/>
          <w:sz w:val="24"/>
        </w:rPr>
        <w:t>长×宽×高，以厘米表示</w:t>
      </w:r>
      <w:r>
        <w:rPr>
          <w:rFonts w:ascii="宋体" w:hAnsi="宋体"/>
          <w:color w:val="auto"/>
          <w:sz w:val="24"/>
        </w:rPr>
        <w:t>)</w:t>
      </w:r>
      <w:r>
        <w:rPr>
          <w:rFonts w:hint="eastAsia"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6</w:t>
      </w:r>
      <w:r>
        <w:rPr>
          <w:rFonts w:hint="eastAsia" w:ascii="宋体" w:hAnsi="宋体"/>
          <w:color w:val="auto"/>
          <w:sz w:val="24"/>
        </w:rPr>
        <w:t>）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w:t>
      </w:r>
    </w:p>
    <w:p>
      <w:pPr>
        <w:spacing w:line="360" w:lineRule="auto"/>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）对裸装货物应以金属标签或直接在设备本身上注明上述有关内容。大件货物应带有足够的货物支架或包装垫木。</w:t>
      </w:r>
    </w:p>
    <w:p>
      <w:pPr>
        <w:spacing w:line="360" w:lineRule="auto"/>
        <w:ind w:firstLine="480" w:firstLineChars="200"/>
        <w:rPr>
          <w:rFonts w:ascii="宋体" w:hAnsi="宋体"/>
          <w:color w:val="auto"/>
          <w:sz w:val="24"/>
        </w:rPr>
      </w:pPr>
      <w:r>
        <w:rPr>
          <w:rFonts w:ascii="宋体" w:hAnsi="宋体"/>
          <w:color w:val="auto"/>
          <w:sz w:val="24"/>
        </w:rPr>
        <w:t>8</w:t>
      </w:r>
      <w:r>
        <w:rPr>
          <w:rFonts w:hint="eastAsia" w:ascii="宋体" w:hAnsi="宋体"/>
          <w:color w:val="auto"/>
          <w:sz w:val="24"/>
        </w:rPr>
        <w:t>）每件包装箱内，应附有包括部件名称、数量、机组号、图号的详细装箱单、质量合格证明书、操作手册和</w:t>
      </w:r>
      <w:r>
        <w:rPr>
          <w:rFonts w:ascii="宋体" w:hAnsi="宋体"/>
          <w:color w:val="auto"/>
          <w:sz w:val="24"/>
        </w:rPr>
        <w:t>/</w:t>
      </w:r>
      <w:r>
        <w:rPr>
          <w:rFonts w:hint="eastAsia" w:ascii="宋体" w:hAnsi="宋体"/>
          <w:color w:val="auto"/>
          <w:sz w:val="24"/>
        </w:rPr>
        <w:t>或技术资料一份。外购件包装箱内应有产品出厂质量合格证明书、技术说明一式二份。另快递邮寄装箱清单各二份。</w:t>
      </w:r>
    </w:p>
    <w:p>
      <w:pPr>
        <w:spacing w:line="360" w:lineRule="auto"/>
        <w:ind w:firstLine="480" w:firstLineChars="200"/>
        <w:rPr>
          <w:rFonts w:ascii="宋体" w:hAnsi="宋体"/>
          <w:color w:val="auto"/>
          <w:sz w:val="24"/>
        </w:rPr>
      </w:pPr>
      <w:r>
        <w:rPr>
          <w:rFonts w:ascii="宋体" w:hAnsi="宋体"/>
          <w:color w:val="auto"/>
          <w:sz w:val="24"/>
        </w:rPr>
        <w:t>9</w:t>
      </w:r>
      <w:r>
        <w:rPr>
          <w:rFonts w:hint="eastAsia" w:ascii="宋体" w:hAnsi="宋体"/>
          <w:color w:val="auto"/>
          <w:sz w:val="24"/>
        </w:rPr>
        <w:t>）栅格式箱子和</w:t>
      </w:r>
      <w:r>
        <w:rPr>
          <w:rFonts w:ascii="宋体" w:hAnsi="宋体"/>
          <w:color w:val="auto"/>
          <w:sz w:val="24"/>
        </w:rPr>
        <w:t>/</w:t>
      </w:r>
      <w:r>
        <w:rPr>
          <w:rFonts w:hint="eastAsia" w:ascii="宋体" w:hAnsi="宋体"/>
          <w:color w:val="auto"/>
          <w:sz w:val="24"/>
        </w:rPr>
        <w:t>或类似的包装</w:t>
      </w:r>
      <w:r>
        <w:rPr>
          <w:rFonts w:ascii="宋体" w:hAnsi="宋体"/>
          <w:color w:val="auto"/>
          <w:sz w:val="24"/>
        </w:rPr>
        <w:t>,</w:t>
      </w:r>
      <w:r>
        <w:rPr>
          <w:rFonts w:hint="eastAsia" w:ascii="宋体" w:hAnsi="宋体"/>
          <w:color w:val="auto"/>
          <w:sz w:val="24"/>
        </w:rPr>
        <w:t>应能用于盛装不至于被偷窃或被其他物品或雨水造成损坏的设备及零部件。</w:t>
      </w:r>
    </w:p>
    <w:p>
      <w:pPr>
        <w:spacing w:line="360" w:lineRule="auto"/>
        <w:ind w:firstLine="480" w:firstLineChars="200"/>
        <w:rPr>
          <w:rFonts w:ascii="宋体" w:hAnsi="宋体"/>
          <w:color w:val="auto"/>
          <w:sz w:val="24"/>
        </w:rPr>
      </w:pPr>
      <w:r>
        <w:rPr>
          <w:rFonts w:ascii="宋体" w:hAnsi="宋体"/>
          <w:color w:val="auto"/>
          <w:sz w:val="24"/>
        </w:rPr>
        <w:t>10</w:t>
      </w:r>
      <w:r>
        <w:rPr>
          <w:rFonts w:hint="eastAsia" w:ascii="宋体" w:hAnsi="宋体"/>
          <w:color w:val="auto"/>
          <w:sz w:val="24"/>
        </w:rPr>
        <w:t>）</w:t>
      </w:r>
      <w:r>
        <w:rPr>
          <w:rFonts w:ascii="宋体" w:hAnsi="宋体"/>
          <w:color w:val="auto"/>
          <w:sz w:val="24"/>
        </w:rPr>
        <w:t>所有的孔﹑管接头以及法兰螺栓和末端焊接的连接件都应有保护装置，以防止在运输和保管期间发生损坏、腐蚀及掉进异物</w:t>
      </w:r>
      <w:r>
        <w:rPr>
          <w:rFonts w:hint="eastAsia"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11</w:t>
      </w:r>
      <w:r>
        <w:rPr>
          <w:rFonts w:hint="eastAsia" w:ascii="宋体" w:hAnsi="宋体"/>
          <w:color w:val="auto"/>
          <w:sz w:val="24"/>
        </w:rPr>
        <w:t>）乙方和</w:t>
      </w:r>
      <w:r>
        <w:rPr>
          <w:rFonts w:ascii="宋体" w:hAnsi="宋体"/>
          <w:color w:val="auto"/>
          <w:sz w:val="24"/>
        </w:rPr>
        <w:t>/</w:t>
      </w:r>
      <w:r>
        <w:rPr>
          <w:rFonts w:hint="eastAsia" w:ascii="宋体" w:hAnsi="宋体"/>
          <w:color w:val="auto"/>
          <w:sz w:val="24"/>
        </w:rPr>
        <w:t>或其分包商不得用同一箱号标明任何两个箱件，包装箱应连续编号，而且在全部装运的过程中，装箱编号的顺序始终是连贯的。</w:t>
      </w:r>
    </w:p>
    <w:p>
      <w:pPr>
        <w:spacing w:line="360" w:lineRule="auto"/>
        <w:ind w:firstLine="480" w:firstLineChars="200"/>
        <w:rPr>
          <w:rFonts w:ascii="宋体" w:hAnsi="宋体"/>
          <w:color w:val="auto"/>
          <w:sz w:val="24"/>
        </w:rPr>
      </w:pPr>
      <w:r>
        <w:rPr>
          <w:rFonts w:ascii="宋体" w:hAnsi="宋体"/>
          <w:color w:val="auto"/>
          <w:sz w:val="24"/>
        </w:rPr>
        <w:t>12</w:t>
      </w:r>
      <w:r>
        <w:rPr>
          <w:rFonts w:hint="eastAsia" w:ascii="宋体" w:hAnsi="宋体"/>
          <w:color w:val="auto"/>
          <w:sz w:val="24"/>
        </w:rPr>
        <w:t>）对于需要保证精确装配的明亮洁净加工面的货物，加工面应采用优良、耐久的保护层</w:t>
      </w:r>
      <w:r>
        <w:rPr>
          <w:rFonts w:ascii="宋体" w:hAnsi="宋体"/>
          <w:color w:val="auto"/>
          <w:sz w:val="24"/>
        </w:rPr>
        <w:t>(</w:t>
      </w:r>
      <w:r>
        <w:rPr>
          <w:rFonts w:hint="eastAsia" w:ascii="宋体" w:hAnsi="宋体"/>
          <w:color w:val="auto"/>
          <w:sz w:val="24"/>
        </w:rPr>
        <w:t>不得用油漆</w:t>
      </w:r>
      <w:r>
        <w:rPr>
          <w:rFonts w:ascii="宋体" w:hAnsi="宋体"/>
          <w:color w:val="auto"/>
          <w:sz w:val="24"/>
        </w:rPr>
        <w:t>)</w:t>
      </w:r>
      <w:r>
        <w:rPr>
          <w:rFonts w:hint="eastAsia" w:ascii="宋体" w:hAnsi="宋体"/>
          <w:color w:val="auto"/>
          <w:sz w:val="24"/>
        </w:rPr>
        <w:t>以防止在安装前发生锈蚀和损坏。</w:t>
      </w:r>
    </w:p>
    <w:p>
      <w:pPr>
        <w:spacing w:line="360" w:lineRule="auto"/>
        <w:ind w:firstLine="480" w:firstLineChars="200"/>
        <w:rPr>
          <w:rFonts w:ascii="宋体" w:hAnsi="宋体"/>
          <w:color w:val="auto"/>
          <w:sz w:val="24"/>
        </w:rPr>
      </w:pPr>
      <w:r>
        <w:rPr>
          <w:rFonts w:ascii="宋体" w:hAnsi="宋体"/>
          <w:color w:val="auto"/>
          <w:sz w:val="24"/>
        </w:rPr>
        <w:t>13</w:t>
      </w:r>
      <w:r>
        <w:rPr>
          <w:rFonts w:hint="eastAsia" w:ascii="宋体" w:hAnsi="宋体"/>
          <w:color w:val="auto"/>
          <w:sz w:val="24"/>
        </w:rPr>
        <w:t>）凡由于乙方包装不当、包装不充分或保管不善致使货物遭到损坏或丢失时，不论在何时何地发现，一经证实，乙方均应按本合同的规定负责及时修理、更换或赔偿。在运输中如发生货物损坏和丢失时，乙方负责与承运部门及保险公司交涉，同时乙方应尽快向甲方补供货物以满足工期需要。</w:t>
      </w:r>
    </w:p>
    <w:p>
      <w:pPr>
        <w:keepNext/>
        <w:spacing w:before="312" w:beforeLines="100" w:after="156" w:afterLines="50"/>
        <w:jc w:val="left"/>
        <w:outlineLvl w:val="1"/>
        <w:rPr>
          <w:rFonts w:ascii="Arial" w:hAnsi="Arial" w:eastAsia="黑体" w:cs="Arial"/>
          <w:bCs/>
          <w:color w:val="auto"/>
          <w:sz w:val="24"/>
        </w:rPr>
      </w:pPr>
      <w:bookmarkStart w:id="93" w:name="_Toc286416622"/>
      <w:bookmarkStart w:id="94" w:name="_Toc463657527"/>
      <w:bookmarkStart w:id="95" w:name="_Toc462415880"/>
      <w:bookmarkStart w:id="96" w:name="_Toc286667856"/>
      <w:bookmarkStart w:id="97" w:name="_Toc286758654"/>
      <w:bookmarkStart w:id="98" w:name="_Toc286757666"/>
      <w:bookmarkStart w:id="99" w:name="_Toc464221023"/>
      <w:bookmarkStart w:id="100" w:name="_Toc287280895"/>
      <w:r>
        <w:rPr>
          <w:rFonts w:hint="eastAsia" w:ascii="Arial" w:hAnsi="Arial" w:eastAsia="黑体" w:cs="Arial"/>
          <w:bCs/>
          <w:color w:val="auto"/>
          <w:sz w:val="24"/>
          <w:lang w:val="en-US" w:eastAsia="zh-CN"/>
        </w:rPr>
        <w:t>6</w:t>
      </w:r>
      <w:r>
        <w:rPr>
          <w:rFonts w:hint="eastAsia" w:ascii="Arial" w:hAnsi="Arial" w:eastAsia="黑体" w:cs="Arial"/>
          <w:bCs/>
          <w:color w:val="auto"/>
          <w:sz w:val="24"/>
        </w:rPr>
        <w:t>.3运输</w:t>
      </w:r>
      <w:bookmarkEnd w:id="93"/>
      <w:bookmarkEnd w:id="94"/>
      <w:bookmarkEnd w:id="95"/>
      <w:bookmarkEnd w:id="96"/>
      <w:bookmarkEnd w:id="97"/>
      <w:bookmarkEnd w:id="98"/>
      <w:bookmarkEnd w:id="99"/>
      <w:bookmarkEnd w:id="100"/>
    </w:p>
    <w:p>
      <w:pPr>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）交货地点：</w:t>
      </w:r>
      <w:r>
        <w:rPr>
          <w:rFonts w:hint="eastAsia" w:ascii="宋体" w:hAnsi="宋体"/>
          <w:color w:val="auto"/>
          <w:sz w:val="24"/>
          <w:highlight w:val="none"/>
        </w:rPr>
        <w:t>甲方</w:t>
      </w:r>
      <w:r>
        <w:rPr>
          <w:rFonts w:hint="eastAsia" w:ascii="宋体" w:hAnsi="宋体"/>
          <w:color w:val="auto"/>
          <w:sz w:val="24"/>
          <w:highlight w:val="none"/>
          <w:lang w:val="en-US" w:eastAsia="zh-CN"/>
        </w:rPr>
        <w:t>安装</w:t>
      </w:r>
      <w:r>
        <w:rPr>
          <w:rFonts w:hint="eastAsia" w:ascii="宋体" w:hAnsi="宋体"/>
          <w:color w:val="auto"/>
          <w:sz w:val="24"/>
          <w:highlight w:val="none"/>
        </w:rPr>
        <w:t>现场；</w:t>
      </w:r>
    </w:p>
    <w:p>
      <w:pPr>
        <w:spacing w:line="360" w:lineRule="auto"/>
        <w:ind w:firstLine="480" w:firstLineChars="200"/>
        <w:rPr>
          <w:rFonts w:hint="eastAsia" w:ascii="宋体" w:hAnsi="宋体" w:eastAsia="宋体"/>
          <w:color w:val="auto"/>
          <w:sz w:val="24"/>
          <w:lang w:eastAsia="zh-CN"/>
        </w:rPr>
      </w:pPr>
      <w:r>
        <w:rPr>
          <w:rFonts w:ascii="宋体" w:hAnsi="宋体"/>
          <w:color w:val="auto"/>
          <w:sz w:val="24"/>
        </w:rPr>
        <w:t>2</w:t>
      </w:r>
      <w:r>
        <w:rPr>
          <w:rFonts w:hint="eastAsia" w:ascii="宋体" w:hAnsi="宋体"/>
          <w:color w:val="auto"/>
          <w:sz w:val="24"/>
        </w:rPr>
        <w:t>）运输方式：汽车运输</w:t>
      </w:r>
      <w:r>
        <w:rPr>
          <w:rFonts w:hint="eastAsia" w:ascii="宋体" w:hAnsi="宋体"/>
          <w:color w:val="auto"/>
          <w:sz w:val="24"/>
          <w:lang w:eastAsia="zh-CN"/>
        </w:rPr>
        <w:t>；</w:t>
      </w:r>
    </w:p>
    <w:p>
      <w:pPr>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）乙方应在合同规定的交货期前</w:t>
      </w:r>
      <w:r>
        <w:rPr>
          <w:rFonts w:hint="eastAsia"/>
          <w:color w:val="auto"/>
          <w:sz w:val="24"/>
        </w:rPr>
        <w:t>15</w:t>
      </w:r>
      <w:r>
        <w:rPr>
          <w:rFonts w:hint="eastAsia" w:ascii="宋体" w:hAnsi="宋体"/>
          <w:color w:val="auto"/>
          <w:sz w:val="24"/>
        </w:rPr>
        <w:t>个日历日以电报、传真或电传通知甲方合同号、货物名称、数量、包装件数、总毛重、总体积（立方米）和备妥待运日期。同时，乙方应以挂号信寄给甲方详细交货清单一式三份，包括合同号、货物名称、规格、数量、总毛重、总体积（立方米）和每一包装箱的尺寸（长×宽×高）、备妥待运日期，以及货物在运输和仓储中的特殊要求和注意事项。</w:t>
      </w:r>
    </w:p>
    <w:p>
      <w:pPr>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）甲方可派遣代表到乙方工厂及装货车站监督装车情况。乙方应提前</w:t>
      </w:r>
      <w:r>
        <w:rPr>
          <w:color w:val="auto"/>
          <w:sz w:val="24"/>
        </w:rPr>
        <w:t>15</w:t>
      </w:r>
      <w:r>
        <w:rPr>
          <w:rFonts w:hint="eastAsia" w:ascii="宋体" w:hAnsi="宋体"/>
          <w:color w:val="auto"/>
          <w:sz w:val="24"/>
        </w:rPr>
        <w:t>天通知甲方交运日期。如果甲方代表不能及时参加检验时，乙方有权发货。上述甲方代表的检查与监督不能免除乙方应负的责任。</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）乙方应在货物装运完后</w:t>
      </w:r>
      <w:r>
        <w:rPr>
          <w:color w:val="auto"/>
          <w:sz w:val="24"/>
        </w:rPr>
        <w:t>24</w:t>
      </w:r>
      <w:r>
        <w:rPr>
          <w:rFonts w:hint="eastAsia" w:ascii="宋体" w:hAnsi="宋体"/>
          <w:color w:val="auto"/>
          <w:sz w:val="24"/>
        </w:rPr>
        <w:t>小时内以电报、传真或电传通知甲方合同号、货物名称、数量、毛重、体积（立方米）、运输工具名称及启运日期。如果包装件重量超过</w:t>
      </w:r>
      <w:r>
        <w:rPr>
          <w:color w:val="auto"/>
          <w:sz w:val="24"/>
        </w:rPr>
        <w:t>20</w:t>
      </w:r>
      <w:r>
        <w:rPr>
          <w:rFonts w:hint="eastAsia" w:ascii="宋体" w:hAnsi="宋体"/>
          <w:color w:val="auto"/>
          <w:sz w:val="24"/>
        </w:rPr>
        <w:t>吨或尺寸达到或超过</w:t>
      </w:r>
      <w:r>
        <w:rPr>
          <w:color w:val="auto"/>
          <w:sz w:val="24"/>
        </w:rPr>
        <w:t>12</w:t>
      </w:r>
      <w:r>
        <w:rPr>
          <w:rFonts w:hint="eastAsia" w:ascii="宋体" w:hAnsi="宋体"/>
          <w:color w:val="auto"/>
          <w:sz w:val="24"/>
        </w:rPr>
        <w:t>米长、</w:t>
      </w:r>
      <w:r>
        <w:rPr>
          <w:color w:val="auto"/>
          <w:sz w:val="24"/>
        </w:rPr>
        <w:t>2</w:t>
      </w:r>
      <w:r>
        <w:rPr>
          <w:rFonts w:ascii="宋体" w:hAnsi="宋体"/>
          <w:color w:val="auto"/>
          <w:sz w:val="24"/>
        </w:rPr>
        <w:t>.</w:t>
      </w:r>
      <w:r>
        <w:rPr>
          <w:color w:val="auto"/>
          <w:sz w:val="24"/>
        </w:rPr>
        <w:t>7</w:t>
      </w:r>
      <w:r>
        <w:rPr>
          <w:rFonts w:hint="eastAsia" w:ascii="宋体" w:hAnsi="宋体"/>
          <w:color w:val="auto"/>
          <w:sz w:val="24"/>
        </w:rPr>
        <w:t>米宽和</w:t>
      </w:r>
      <w:r>
        <w:rPr>
          <w:color w:val="auto"/>
          <w:sz w:val="24"/>
        </w:rPr>
        <w:t>3</w:t>
      </w:r>
      <w:r>
        <w:rPr>
          <w:rFonts w:hint="eastAsia" w:ascii="宋体" w:hAnsi="宋体"/>
          <w:color w:val="auto"/>
          <w:sz w:val="24"/>
        </w:rPr>
        <w:t>米高，乙方应将其重量或尺寸通知甲方。若货物中有易燃品或危险品，乙方也须将详细情况通知甲方。</w:t>
      </w:r>
    </w:p>
    <w:p>
      <w:pPr>
        <w:spacing w:line="360" w:lineRule="auto"/>
        <w:ind w:firstLine="480" w:firstLineChars="200"/>
        <w:rPr>
          <w:rFonts w:ascii="宋体" w:hAnsi="宋体"/>
          <w:color w:val="auto"/>
          <w:sz w:val="24"/>
        </w:rPr>
      </w:pPr>
      <w:r>
        <w:rPr>
          <w:rFonts w:ascii="宋体" w:hAnsi="宋体"/>
          <w:color w:val="auto"/>
          <w:sz w:val="24"/>
        </w:rPr>
        <w:t>6</w:t>
      </w:r>
      <w:r>
        <w:rPr>
          <w:rFonts w:hint="eastAsia" w:ascii="宋体" w:hAnsi="宋体"/>
          <w:color w:val="auto"/>
          <w:sz w:val="24"/>
        </w:rPr>
        <w:t>）从乙方至合同目的地的运输保险，由乙方负责投保并承担全额保险费。保险应以人民币按照发票金额的</w:t>
      </w:r>
      <w:r>
        <w:rPr>
          <w:color w:val="auto"/>
          <w:sz w:val="24"/>
        </w:rPr>
        <w:t>110</w:t>
      </w:r>
      <w:r>
        <w:rPr>
          <w:rFonts w:ascii="宋体" w:hAnsi="宋体"/>
          <w:color w:val="auto"/>
          <w:sz w:val="24"/>
        </w:rPr>
        <w:t>%</w:t>
      </w:r>
      <w:r>
        <w:rPr>
          <w:rFonts w:hint="eastAsia" w:ascii="宋体" w:hAnsi="宋体"/>
          <w:color w:val="auto"/>
          <w:sz w:val="24"/>
        </w:rPr>
        <w:t>办理“一切险”。</w:t>
      </w:r>
    </w:p>
    <w:p>
      <w:pPr>
        <w:bidi w:val="0"/>
        <w:rPr>
          <w:rFonts w:hint="eastAsia"/>
          <w:b/>
          <w:bCs/>
          <w:sz w:val="24"/>
          <w:szCs w:val="24"/>
          <w:lang w:val="en-US" w:eastAsia="zh-CN"/>
        </w:rPr>
      </w:pPr>
      <w:r>
        <w:rPr>
          <w:rFonts w:hint="eastAsia"/>
          <w:b/>
          <w:bCs/>
          <w:sz w:val="24"/>
          <w:szCs w:val="24"/>
          <w:lang w:val="en-US" w:eastAsia="zh-CN"/>
        </w:rPr>
        <w:t>以下无内容</w:t>
      </w:r>
    </w:p>
    <w:p>
      <w:pPr>
        <w:pStyle w:val="2"/>
        <w:rPr>
          <w:rFonts w:hint="default"/>
          <w:lang w:val="en-US" w:eastAsia="zh-CN"/>
        </w:rPr>
      </w:pPr>
    </w:p>
    <w:p>
      <w:pPr>
        <w:spacing w:line="360" w:lineRule="auto"/>
        <w:rPr>
          <w:rFonts w:hint="eastAsia" w:cs="Arial"/>
          <w:b/>
          <w:sz w:val="24"/>
        </w:rPr>
      </w:pPr>
    </w:p>
    <w:p>
      <w:pPr>
        <w:pStyle w:val="2"/>
        <w:rPr>
          <w:rFonts w:hint="eastAsia"/>
        </w:rPr>
      </w:pP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p>
    <w:p>
      <w:pPr>
        <w:spacing w:line="360" w:lineRule="auto"/>
        <w:rPr>
          <w:rFonts w:hint="eastAsia" w:cs="Arial"/>
          <w:b/>
          <w:sz w:val="24"/>
        </w:rPr>
      </w:pPr>
      <w:r>
        <w:rPr>
          <w:rFonts w:hint="eastAsia" w:cs="Arial"/>
          <w:b/>
          <w:sz w:val="24"/>
        </w:rPr>
        <w:t>双方签字：</w:t>
      </w:r>
    </w:p>
    <w:tbl>
      <w:tblPr>
        <w:tblStyle w:val="16"/>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4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bidi w:val="0"/>
        <w:ind w:firstLine="359" w:firstLineChars="0"/>
        <w:jc w:val="left"/>
        <w:rPr>
          <w:rFonts w:hint="eastAsia"/>
          <w:lang w:val="en-US" w:eastAsia="zh-CN"/>
        </w:rPr>
      </w:pPr>
    </w:p>
    <w:p>
      <w:pPr>
        <w:adjustRightInd w:val="0"/>
        <w:snapToGrid w:val="0"/>
        <w:spacing w:line="360" w:lineRule="auto"/>
        <w:rPr>
          <w:rFonts w:ascii="仿宋_GB2312" w:hAnsi="宋体" w:eastAsia="仿宋_GB2312"/>
          <w:szCs w:val="21"/>
          <w:lang w:val="en-US" w:eastAsia="zh-CN"/>
        </w:rPr>
      </w:pPr>
    </w:p>
    <w:sectPr>
      <w:pgSz w:w="11906" w:h="16838"/>
      <w:pgMar w:top="1440"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3"/>
      </w:rPr>
    </w:pPr>
    <w:r>
      <w:rPr>
        <w:sz w:val="1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D4CBB"/>
    <w:multiLevelType w:val="multilevel"/>
    <w:tmpl w:val="186D4CBB"/>
    <w:lvl w:ilvl="0" w:tentative="0">
      <w:start w:val="1"/>
      <w:numFmt w:val="lowerLetter"/>
      <w:lvlText w:val="%1)"/>
      <w:lvlJc w:val="left"/>
      <w:pPr>
        <w:ind w:left="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44B0CF3"/>
    <w:multiLevelType w:val="multilevel"/>
    <w:tmpl w:val="244B0CF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255D26E8"/>
    <w:multiLevelType w:val="multilevel"/>
    <w:tmpl w:val="255D26E8"/>
    <w:lvl w:ilvl="0" w:tentative="0">
      <w:start w:val="1"/>
      <w:numFmt w:val="upperLetter"/>
      <w:lvlText w:val="%1."/>
      <w:lvlJc w:val="left"/>
      <w:pPr>
        <w:tabs>
          <w:tab w:val="left" w:pos="4200"/>
        </w:tabs>
        <w:ind w:left="4621" w:hanging="420"/>
      </w:pPr>
    </w:lvl>
    <w:lvl w:ilvl="1" w:tentative="0">
      <w:start w:val="1"/>
      <w:numFmt w:val="lowerLetter"/>
      <w:lvlText w:val="%2)"/>
      <w:lvlJc w:val="left"/>
      <w:pPr>
        <w:tabs>
          <w:tab w:val="left" w:pos="4200"/>
        </w:tabs>
        <w:ind w:left="5040" w:hanging="420"/>
      </w:pPr>
    </w:lvl>
    <w:lvl w:ilvl="2" w:tentative="0">
      <w:start w:val="1"/>
      <w:numFmt w:val="lowerRoman"/>
      <w:lvlText w:val="%3."/>
      <w:lvlJc w:val="right"/>
      <w:pPr>
        <w:tabs>
          <w:tab w:val="left" w:pos="4200"/>
        </w:tabs>
        <w:ind w:left="5460" w:hanging="420"/>
      </w:pPr>
    </w:lvl>
    <w:lvl w:ilvl="3" w:tentative="0">
      <w:start w:val="1"/>
      <w:numFmt w:val="decimal"/>
      <w:lvlText w:val="%4."/>
      <w:lvlJc w:val="left"/>
      <w:pPr>
        <w:tabs>
          <w:tab w:val="left" w:pos="4200"/>
        </w:tabs>
        <w:ind w:left="5880" w:hanging="420"/>
      </w:pPr>
    </w:lvl>
    <w:lvl w:ilvl="4" w:tentative="0">
      <w:start w:val="1"/>
      <w:numFmt w:val="lowerLetter"/>
      <w:lvlText w:val="%5)"/>
      <w:lvlJc w:val="left"/>
      <w:pPr>
        <w:tabs>
          <w:tab w:val="left" w:pos="4200"/>
        </w:tabs>
        <w:ind w:left="6300" w:hanging="420"/>
      </w:pPr>
    </w:lvl>
    <w:lvl w:ilvl="5" w:tentative="0">
      <w:start w:val="1"/>
      <w:numFmt w:val="lowerRoman"/>
      <w:lvlText w:val="%6."/>
      <w:lvlJc w:val="right"/>
      <w:pPr>
        <w:tabs>
          <w:tab w:val="left" w:pos="4200"/>
        </w:tabs>
        <w:ind w:left="6720" w:hanging="420"/>
      </w:pPr>
    </w:lvl>
    <w:lvl w:ilvl="6" w:tentative="0">
      <w:start w:val="1"/>
      <w:numFmt w:val="decimal"/>
      <w:lvlText w:val="%7."/>
      <w:lvlJc w:val="left"/>
      <w:pPr>
        <w:tabs>
          <w:tab w:val="left" w:pos="4200"/>
        </w:tabs>
        <w:ind w:left="7140" w:hanging="420"/>
      </w:pPr>
    </w:lvl>
    <w:lvl w:ilvl="7" w:tentative="0">
      <w:start w:val="1"/>
      <w:numFmt w:val="lowerLetter"/>
      <w:lvlText w:val="%8)"/>
      <w:lvlJc w:val="left"/>
      <w:pPr>
        <w:tabs>
          <w:tab w:val="left" w:pos="4200"/>
        </w:tabs>
        <w:ind w:left="7560" w:hanging="420"/>
      </w:pPr>
    </w:lvl>
    <w:lvl w:ilvl="8" w:tentative="0">
      <w:start w:val="1"/>
      <w:numFmt w:val="lowerRoman"/>
      <w:lvlText w:val="%9."/>
      <w:lvlJc w:val="right"/>
      <w:pPr>
        <w:tabs>
          <w:tab w:val="left" w:pos="4200"/>
        </w:tabs>
        <w:ind w:left="7980" w:hanging="420"/>
      </w:pPr>
    </w:lvl>
  </w:abstractNum>
  <w:abstractNum w:abstractNumId="3">
    <w:nsid w:val="46027713"/>
    <w:multiLevelType w:val="multilevel"/>
    <w:tmpl w:val="46027713"/>
    <w:lvl w:ilvl="0" w:tentative="0">
      <w:start w:val="1"/>
      <w:numFmt w:val="upperLetter"/>
      <w:lvlText w:val="%1."/>
      <w:lvlJc w:val="left"/>
      <w:pPr>
        <w:tabs>
          <w:tab w:val="left" w:pos="6720"/>
        </w:tabs>
        <w:ind w:left="7141" w:hanging="420"/>
      </w:pPr>
    </w:lvl>
    <w:lvl w:ilvl="1" w:tentative="0">
      <w:start w:val="1"/>
      <w:numFmt w:val="lowerLetter"/>
      <w:lvlText w:val="%2)"/>
      <w:lvlJc w:val="left"/>
      <w:pPr>
        <w:tabs>
          <w:tab w:val="left" w:pos="6720"/>
        </w:tabs>
        <w:ind w:left="7561" w:hanging="420"/>
      </w:pPr>
    </w:lvl>
    <w:lvl w:ilvl="2" w:tentative="0">
      <w:start w:val="1"/>
      <w:numFmt w:val="lowerRoman"/>
      <w:lvlText w:val="%3."/>
      <w:lvlJc w:val="right"/>
      <w:pPr>
        <w:tabs>
          <w:tab w:val="left" w:pos="6720"/>
        </w:tabs>
        <w:ind w:left="7981" w:hanging="420"/>
      </w:pPr>
    </w:lvl>
    <w:lvl w:ilvl="3" w:tentative="0">
      <w:start w:val="1"/>
      <w:numFmt w:val="decimal"/>
      <w:lvlText w:val="%4."/>
      <w:lvlJc w:val="left"/>
      <w:pPr>
        <w:tabs>
          <w:tab w:val="left" w:pos="6720"/>
        </w:tabs>
        <w:ind w:left="8401" w:hanging="420"/>
      </w:pPr>
    </w:lvl>
    <w:lvl w:ilvl="4" w:tentative="0">
      <w:start w:val="1"/>
      <w:numFmt w:val="lowerLetter"/>
      <w:lvlText w:val="%5)"/>
      <w:lvlJc w:val="left"/>
      <w:pPr>
        <w:tabs>
          <w:tab w:val="left" w:pos="6720"/>
        </w:tabs>
        <w:ind w:left="8821" w:hanging="420"/>
      </w:pPr>
    </w:lvl>
    <w:lvl w:ilvl="5" w:tentative="0">
      <w:start w:val="1"/>
      <w:numFmt w:val="lowerRoman"/>
      <w:lvlText w:val="%6."/>
      <w:lvlJc w:val="right"/>
      <w:pPr>
        <w:tabs>
          <w:tab w:val="left" w:pos="6720"/>
        </w:tabs>
        <w:ind w:left="9241" w:hanging="420"/>
      </w:pPr>
    </w:lvl>
    <w:lvl w:ilvl="6" w:tentative="0">
      <w:start w:val="1"/>
      <w:numFmt w:val="decimal"/>
      <w:lvlText w:val="%7."/>
      <w:lvlJc w:val="left"/>
      <w:pPr>
        <w:tabs>
          <w:tab w:val="left" w:pos="6720"/>
        </w:tabs>
        <w:ind w:left="9661" w:hanging="420"/>
      </w:pPr>
    </w:lvl>
    <w:lvl w:ilvl="7" w:tentative="0">
      <w:start w:val="1"/>
      <w:numFmt w:val="lowerLetter"/>
      <w:lvlText w:val="%8)"/>
      <w:lvlJc w:val="left"/>
      <w:pPr>
        <w:tabs>
          <w:tab w:val="left" w:pos="6720"/>
        </w:tabs>
        <w:ind w:left="10081" w:hanging="420"/>
      </w:pPr>
    </w:lvl>
    <w:lvl w:ilvl="8" w:tentative="0">
      <w:start w:val="1"/>
      <w:numFmt w:val="lowerRoman"/>
      <w:lvlText w:val="%9."/>
      <w:lvlJc w:val="right"/>
      <w:pPr>
        <w:tabs>
          <w:tab w:val="left" w:pos="6720"/>
        </w:tabs>
        <w:ind w:left="10501"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WZkMjNiMDA3Y2VmM2NkODM0YjE4MWYwOTg2ZmQifQ=="/>
  </w:docVars>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E533C"/>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54184"/>
    <w:rsid w:val="00D8082C"/>
    <w:rsid w:val="00DE71E4"/>
    <w:rsid w:val="00E345D0"/>
    <w:rsid w:val="00E4294F"/>
    <w:rsid w:val="00E56BEE"/>
    <w:rsid w:val="00EF7483"/>
    <w:rsid w:val="00F73B9A"/>
    <w:rsid w:val="00F8173C"/>
    <w:rsid w:val="00F84528"/>
    <w:rsid w:val="00FC39E6"/>
    <w:rsid w:val="00FD485A"/>
    <w:rsid w:val="04F1437D"/>
    <w:rsid w:val="054B0105"/>
    <w:rsid w:val="05BF451A"/>
    <w:rsid w:val="07734AA3"/>
    <w:rsid w:val="0947132D"/>
    <w:rsid w:val="0B035C4C"/>
    <w:rsid w:val="0FAC60A4"/>
    <w:rsid w:val="10FD1F29"/>
    <w:rsid w:val="11D47DDA"/>
    <w:rsid w:val="13054DB2"/>
    <w:rsid w:val="137C74D8"/>
    <w:rsid w:val="13970214"/>
    <w:rsid w:val="1676477B"/>
    <w:rsid w:val="1BB370AE"/>
    <w:rsid w:val="1BCC0B62"/>
    <w:rsid w:val="1C386971"/>
    <w:rsid w:val="1CC87CDF"/>
    <w:rsid w:val="1EAB6D88"/>
    <w:rsid w:val="226B1251"/>
    <w:rsid w:val="22C0491E"/>
    <w:rsid w:val="256718B8"/>
    <w:rsid w:val="2FD43F97"/>
    <w:rsid w:val="306E3B3E"/>
    <w:rsid w:val="32C92C7E"/>
    <w:rsid w:val="338E0757"/>
    <w:rsid w:val="34980B25"/>
    <w:rsid w:val="34EE2B61"/>
    <w:rsid w:val="357F3EA8"/>
    <w:rsid w:val="36A05C09"/>
    <w:rsid w:val="37BF2ED1"/>
    <w:rsid w:val="38AF73EA"/>
    <w:rsid w:val="391A52DB"/>
    <w:rsid w:val="39B90520"/>
    <w:rsid w:val="3E464D91"/>
    <w:rsid w:val="3E5552BA"/>
    <w:rsid w:val="40A5266C"/>
    <w:rsid w:val="42E8493F"/>
    <w:rsid w:val="435965D7"/>
    <w:rsid w:val="44414145"/>
    <w:rsid w:val="44D424D1"/>
    <w:rsid w:val="489E7C99"/>
    <w:rsid w:val="4AD9052E"/>
    <w:rsid w:val="4C9A217A"/>
    <w:rsid w:val="4CC2732C"/>
    <w:rsid w:val="4D6A1CBB"/>
    <w:rsid w:val="4EC611A7"/>
    <w:rsid w:val="4EF04EE2"/>
    <w:rsid w:val="4F0C2A48"/>
    <w:rsid w:val="5052542C"/>
    <w:rsid w:val="50773B78"/>
    <w:rsid w:val="518E5997"/>
    <w:rsid w:val="52B03878"/>
    <w:rsid w:val="57A9647A"/>
    <w:rsid w:val="5A3E6894"/>
    <w:rsid w:val="5C370355"/>
    <w:rsid w:val="5DF36B60"/>
    <w:rsid w:val="608F4431"/>
    <w:rsid w:val="66215314"/>
    <w:rsid w:val="67544B37"/>
    <w:rsid w:val="688F7BB7"/>
    <w:rsid w:val="6A913FBE"/>
    <w:rsid w:val="6E253714"/>
    <w:rsid w:val="6E492FEB"/>
    <w:rsid w:val="704E3101"/>
    <w:rsid w:val="72C708B1"/>
    <w:rsid w:val="734B5EB7"/>
    <w:rsid w:val="73A71A97"/>
    <w:rsid w:val="73F87045"/>
    <w:rsid w:val="741164A9"/>
    <w:rsid w:val="77974DEA"/>
    <w:rsid w:val="77F93A95"/>
    <w:rsid w:val="79683176"/>
    <w:rsid w:val="79F41F32"/>
    <w:rsid w:val="7ACA441A"/>
    <w:rsid w:val="7AD53B92"/>
    <w:rsid w:val="7BB05A63"/>
    <w:rsid w:val="7BDF54E7"/>
    <w:rsid w:val="7C7D5003"/>
    <w:rsid w:val="7EDA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2">
    <w:name w:val="heading 2"/>
    <w:basedOn w:val="1"/>
    <w:next w:val="1"/>
    <w:qFormat/>
    <w:uiPriority w:val="0"/>
    <w:pPr>
      <w:keepNext/>
      <w:spacing w:before="100" w:beforeLines="100" w:after="50" w:afterLines="50"/>
      <w:jc w:val="left"/>
      <w:outlineLvl w:val="1"/>
    </w:pPr>
    <w:rPr>
      <w:rFonts w:ascii="Arial" w:hAnsi="Arial" w:eastAsia="黑体" w:cs="Arial"/>
      <w:b/>
      <w:bCs/>
      <w:sz w:val="28"/>
    </w:rPr>
  </w:style>
  <w:style w:type="paragraph" w:styleId="4">
    <w:name w:val="heading 3"/>
    <w:basedOn w:val="1"/>
    <w:next w:val="1"/>
    <w:link w:val="27"/>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28"/>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Salutation"/>
    <w:basedOn w:val="1"/>
    <w:next w:val="1"/>
    <w:link w:val="25"/>
    <w:qFormat/>
    <w:uiPriority w:val="99"/>
    <w:rPr>
      <w:rFonts w:ascii="宋体" w:eastAsia="仿宋_GB2312"/>
      <w:szCs w:val="20"/>
    </w:rPr>
  </w:style>
  <w:style w:type="paragraph" w:styleId="8">
    <w:name w:val="Body Text"/>
    <w:basedOn w:val="1"/>
    <w:link w:val="23"/>
    <w:qFormat/>
    <w:uiPriority w:val="1"/>
    <w:pPr>
      <w:autoSpaceDE w:val="0"/>
      <w:autoSpaceDN w:val="0"/>
      <w:jc w:val="left"/>
    </w:pPr>
    <w:rPr>
      <w:rFonts w:ascii="宋体" w:hAnsi="宋体" w:cs="宋体"/>
      <w:kern w:val="0"/>
      <w:szCs w:val="21"/>
      <w:lang w:val="zh-CN" w:bidi="zh-CN"/>
    </w:rPr>
  </w:style>
  <w:style w:type="paragraph" w:styleId="9">
    <w:name w:val="Plain Text"/>
    <w:basedOn w:val="1"/>
    <w:link w:val="31"/>
    <w:qFormat/>
    <w:uiPriority w:val="0"/>
    <w:rPr>
      <w:rFonts w:ascii="宋体" w:hAnsi="Courier New" w:cs="Courier New"/>
      <w:szCs w:val="21"/>
    </w:rPr>
  </w:style>
  <w:style w:type="paragraph" w:styleId="10">
    <w:name w:val="Date"/>
    <w:basedOn w:val="1"/>
    <w:next w:val="1"/>
    <w:link w:val="21"/>
    <w:unhideWhenUsed/>
    <w:qFormat/>
    <w:uiPriority w:val="99"/>
    <w:pPr>
      <w:ind w:left="100" w:leftChars="2500"/>
    </w:pPr>
  </w:style>
  <w:style w:type="paragraph" w:styleId="11">
    <w:name w:val="Balloon Text"/>
    <w:basedOn w:val="1"/>
    <w:link w:val="33"/>
    <w:semiHidden/>
    <w:unhideWhenUsed/>
    <w:qFormat/>
    <w:uiPriority w:val="99"/>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nhideWhenUsed/>
    <w:qFormat/>
    <w:uiPriority w:val="39"/>
    <w:pPr>
      <w:widowControl/>
      <w:tabs>
        <w:tab w:val="left" w:pos="440"/>
        <w:tab w:val="right" w:leader="dot" w:pos="9060"/>
      </w:tabs>
      <w:spacing w:after="100" w:line="600" w:lineRule="exact"/>
      <w:jc w:val="left"/>
    </w:pPr>
    <w:rPr>
      <w:rFonts w:ascii="Calibri" w:hAnsi="Calibri" w:eastAsia="宋体" w:cs="Times New Roman"/>
      <w:kern w:val="0"/>
      <w:sz w:val="22"/>
      <w:szCs w:val="22"/>
    </w:rPr>
  </w:style>
  <w:style w:type="paragraph" w:styleId="15">
    <w:name w:val="Normal (Web)"/>
    <w:basedOn w:val="1"/>
    <w:qFormat/>
    <w:uiPriority w:val="0"/>
    <w:pPr>
      <w:widowControl/>
      <w:spacing w:before="100" w:beforeAutospacing="1" w:after="100" w:afterAutospacing="1"/>
      <w:jc w:val="left"/>
    </w:pPr>
    <w:rPr>
      <w:kern w:val="0"/>
      <w:sz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99"/>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日期 Char"/>
    <w:basedOn w:val="18"/>
    <w:link w:val="10"/>
    <w:semiHidden/>
    <w:qFormat/>
    <w:uiPriority w:val="99"/>
    <w:rPr>
      <w:kern w:val="2"/>
      <w:sz w:val="21"/>
      <w:szCs w:val="24"/>
    </w:rPr>
  </w:style>
  <w:style w:type="character" w:customStyle="1" w:styleId="22">
    <w:name w:val="标题 1 Char"/>
    <w:basedOn w:val="18"/>
    <w:link w:val="3"/>
    <w:qFormat/>
    <w:uiPriority w:val="1"/>
    <w:rPr>
      <w:rFonts w:ascii="Microsoft JhengHei" w:hAnsi="Microsoft JhengHei" w:eastAsia="Microsoft JhengHei" w:cs="Microsoft JhengHei"/>
      <w:b/>
      <w:bCs/>
      <w:sz w:val="48"/>
      <w:szCs w:val="48"/>
      <w:lang w:val="zh-CN" w:bidi="zh-CN"/>
    </w:rPr>
  </w:style>
  <w:style w:type="character" w:customStyle="1" w:styleId="23">
    <w:name w:val="正文文本 Char"/>
    <w:basedOn w:val="18"/>
    <w:link w:val="8"/>
    <w:qFormat/>
    <w:uiPriority w:val="1"/>
    <w:rPr>
      <w:rFonts w:ascii="宋体" w:hAnsi="宋体" w:cs="宋体"/>
      <w:sz w:val="21"/>
      <w:szCs w:val="21"/>
      <w:lang w:val="zh-CN" w:bidi="zh-CN"/>
    </w:rPr>
  </w:style>
  <w:style w:type="paragraph" w:styleId="24">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5">
    <w:name w:val="称呼 Char"/>
    <w:basedOn w:val="18"/>
    <w:link w:val="7"/>
    <w:qFormat/>
    <w:uiPriority w:val="99"/>
    <w:rPr>
      <w:rFonts w:ascii="宋体" w:eastAsia="仿宋_GB2312"/>
      <w:kern w:val="2"/>
      <w:sz w:val="21"/>
    </w:rPr>
  </w:style>
  <w:style w:type="paragraph" w:customStyle="1" w:styleId="2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7">
    <w:name w:val="标题 3 Char"/>
    <w:basedOn w:val="18"/>
    <w:link w:val="4"/>
    <w:semiHidden/>
    <w:qFormat/>
    <w:uiPriority w:val="0"/>
    <w:rPr>
      <w:b/>
      <w:bCs/>
      <w:kern w:val="2"/>
      <w:sz w:val="32"/>
      <w:szCs w:val="32"/>
    </w:rPr>
  </w:style>
  <w:style w:type="character" w:customStyle="1" w:styleId="28">
    <w:name w:val="标题 6 Char"/>
    <w:basedOn w:val="18"/>
    <w:link w:val="6"/>
    <w:semiHidden/>
    <w:qFormat/>
    <w:uiPriority w:val="0"/>
    <w:rPr>
      <w:rFonts w:asciiTheme="majorHAnsi" w:hAnsiTheme="majorHAnsi" w:eastAsiaTheme="majorEastAsia" w:cstheme="majorBidi"/>
      <w:b/>
      <w:bCs/>
      <w:kern w:val="2"/>
      <w:sz w:val="24"/>
      <w:szCs w:val="24"/>
    </w:rPr>
  </w:style>
  <w:style w:type="character" w:customStyle="1" w:styleId="29">
    <w:name w:val="标题 4 Char"/>
    <w:basedOn w:val="18"/>
    <w:link w:val="5"/>
    <w:semiHidden/>
    <w:qFormat/>
    <w:uiPriority w:val="0"/>
    <w:rPr>
      <w:rFonts w:asciiTheme="majorHAnsi" w:hAnsiTheme="majorHAnsi" w:eastAsiaTheme="majorEastAsia" w:cstheme="majorBidi"/>
      <w:b/>
      <w:bCs/>
      <w:kern w:val="2"/>
      <w:sz w:val="28"/>
      <w:szCs w:val="28"/>
    </w:rPr>
  </w:style>
  <w:style w:type="paragraph" w:customStyle="1" w:styleId="30">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31">
    <w:name w:val="纯文本 Char"/>
    <w:link w:val="9"/>
    <w:qFormat/>
    <w:locked/>
    <w:uiPriority w:val="0"/>
    <w:rPr>
      <w:rFonts w:ascii="宋体" w:hAnsi="Courier New" w:cs="Courier New"/>
      <w:kern w:val="2"/>
      <w:sz w:val="21"/>
      <w:szCs w:val="21"/>
    </w:rPr>
  </w:style>
  <w:style w:type="character" w:customStyle="1" w:styleId="32">
    <w:name w:val="纯文本 Char1"/>
    <w:basedOn w:val="18"/>
    <w:semiHidden/>
    <w:qFormat/>
    <w:uiPriority w:val="99"/>
    <w:rPr>
      <w:rFonts w:ascii="宋体" w:hAnsi="Courier New" w:cs="Courier New"/>
      <w:kern w:val="2"/>
      <w:sz w:val="21"/>
      <w:szCs w:val="21"/>
    </w:rPr>
  </w:style>
  <w:style w:type="character" w:customStyle="1" w:styleId="33">
    <w:name w:val="批注框文本 Char"/>
    <w:basedOn w:val="18"/>
    <w:link w:val="11"/>
    <w:semiHidden/>
    <w:qFormat/>
    <w:uiPriority w:val="99"/>
    <w:rPr>
      <w:kern w:val="2"/>
      <w:sz w:val="18"/>
      <w:szCs w:val="18"/>
    </w:rPr>
  </w:style>
  <w:style w:type="character" w:customStyle="1" w:styleId="34">
    <w:name w:val="font61"/>
    <w:basedOn w:val="18"/>
    <w:qFormat/>
    <w:uiPriority w:val="0"/>
    <w:rPr>
      <w:rFonts w:hint="eastAsia" w:ascii="等线" w:hAnsi="等线" w:eastAsia="等线" w:cs="等线"/>
      <w:color w:val="000000"/>
      <w:sz w:val="22"/>
      <w:szCs w:val="22"/>
      <w:u w:val="none"/>
    </w:rPr>
  </w:style>
  <w:style w:type="paragraph" w:customStyle="1" w:styleId="35">
    <w:name w:val="Style 4"/>
    <w:basedOn w:val="1"/>
    <w:link w:val="36"/>
    <w:qFormat/>
    <w:uiPriority w:val="0"/>
    <w:pPr>
      <w:widowControl w:val="0"/>
      <w:shd w:val="clear" w:color="auto" w:fill="auto"/>
      <w:spacing w:line="322" w:lineRule="auto"/>
    </w:pPr>
    <w:rPr>
      <w:rFonts w:ascii="宋体" w:hAnsi="宋体" w:eastAsia="宋体" w:cs="宋体"/>
      <w:sz w:val="22"/>
      <w:szCs w:val="22"/>
      <w:u w:val="none"/>
      <w:lang w:val="zh-CN" w:eastAsia="zh-CN" w:bidi="zh-CN"/>
    </w:rPr>
  </w:style>
  <w:style w:type="character" w:customStyle="1" w:styleId="36">
    <w:name w:val="Char Style 5"/>
    <w:link w:val="35"/>
    <w:qFormat/>
    <w:uiPriority w:val="0"/>
    <w:rPr>
      <w:rFonts w:ascii="宋体" w:hAnsi="宋体" w:eastAsia="宋体" w:cs="宋体"/>
      <w:sz w:val="22"/>
      <w:szCs w:val="22"/>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32</Pages>
  <Words>12032</Words>
  <Characters>12475</Characters>
  <Lines>136</Lines>
  <Paragraphs>38</Paragraphs>
  <TotalTime>6</TotalTime>
  <ScaleCrop>false</ScaleCrop>
  <LinksUpToDate>false</LinksUpToDate>
  <CharactersWithSpaces>13776</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谭永恒</cp:lastModifiedBy>
  <cp:lastPrinted>2019-12-17T03:39:00Z</cp:lastPrinted>
  <dcterms:modified xsi:type="dcterms:W3CDTF">2023-10-11T00:36:04Z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82CC597210C942838558D570DE074BE6</vt:lpwstr>
  </property>
</Properties>
</file>